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61590039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84056" w:rsidRPr="00984056" w:rsidRDefault="00984056" w:rsidP="00984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05-05- 292-11</w:t>
      </w:r>
      <w:r w:rsidRPr="009840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2F5F53" w:rsidRDefault="00984056" w:rsidP="00984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840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14.09.2020. godine</w:t>
      </w:r>
    </w:p>
    <w:p w:rsidR="00984056" w:rsidRPr="006A5064" w:rsidRDefault="00984056" w:rsidP="0098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05-05-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984056" w:rsidRPr="00984056">
        <w:rPr>
          <w:rFonts w:ascii="Times New Roman" w:hAnsi="Times New Roman" w:cs="Times New Roman"/>
          <w:color w:val="000000"/>
          <w:sz w:val="24"/>
          <w:szCs w:val="24"/>
        </w:rPr>
        <w:t>usluga izrade projekatne dokumentacije za sanaciju tri mosta na regionalnim cestama Tuzlanskog kantona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984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4056" w:rsidRPr="00984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 izrade projekatne dokumentacije za sanaciju tri mosta na regionalnim cestama Tuzlanskog kantona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5E" w:rsidRDefault="00E21543" w:rsidP="00984056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292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984056" w:rsidRPr="0098405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projekatne dokumentacije za sanaciju tri mosta na regionalnim cestama Tuzlanskog kantona</w:t>
      </w:r>
      <w:r w:rsidR="00546105">
        <w:rPr>
          <w:rFonts w:ascii="Times New Roman" w:eastAsia="Times New Roman" w:hAnsi="Times New Roman" w:cs="Times New Roman"/>
          <w:sz w:val="24"/>
          <w:szCs w:val="24"/>
          <w:lang w:eastAsia="zh-CN"/>
        </w:rPr>
        <w:t>, dodjeljuje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9840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605E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="00DC605E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="00DC605E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9E21D0" w:rsidRP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INSTITUT „GIT“ DOO TUZLA</w:t>
      </w:r>
      <w:r w:rsidR="00DC605E" w:rsidRPr="006949FF">
        <w:rPr>
          <w:rFonts w:ascii="Times New Roman" w:hAnsi="Times New Roman" w:cs="Times New Roman"/>
          <w:sz w:val="24"/>
          <w:szCs w:val="24"/>
        </w:rPr>
        <w:t>,</w:t>
      </w:r>
      <w:r w:rsidR="00DC605E" w:rsidRPr="006949FF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="0098405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93.4</w:t>
      </w:r>
      <w:r w:rsid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00</w:t>
      </w:r>
      <w:r w:rsidR="00DC605E" w:rsidRPr="006949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="00DC605E"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984056" w:rsidRPr="006949FF" w:rsidRDefault="00984056" w:rsidP="00984056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546105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056" w:rsidRDefault="00984056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56" w:rsidRDefault="00984056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od 21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108.200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</w:t>
      </w:r>
      <w:r w:rsidR="009840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9840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840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24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98405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98405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4056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984056" w:rsidRPr="00984056">
        <w:rPr>
          <w:rFonts w:ascii="Times New Roman" w:hAnsi="Times New Roman" w:cs="Times New Roman"/>
          <w:color w:val="000000"/>
          <w:sz w:val="24"/>
          <w:szCs w:val="24"/>
        </w:rPr>
        <w:t>usluga izrade projekatne dokumentacije za sanaciju tri mosta na regionalnim cestama Tuzlanskog kantona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0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582E3C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582E3C" w:rsidRDefault="00984056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E3C">
        <w:rPr>
          <w:rFonts w:ascii="Times New Roman" w:hAnsi="Times New Roman" w:cs="Times New Roman"/>
          <w:color w:val="000000"/>
          <w:sz w:val="24"/>
          <w:szCs w:val="24"/>
        </w:rPr>
        <w:t xml:space="preserve">Tom prilikom, </w:t>
      </w:r>
      <w:r w:rsidR="00163F90" w:rsidRPr="00582E3C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Pr="00582E3C">
        <w:rPr>
          <w:rFonts w:ascii="Times New Roman" w:hAnsi="Times New Roman" w:cs="Times New Roman"/>
          <w:color w:val="000000"/>
          <w:sz w:val="24"/>
          <w:szCs w:val="24"/>
        </w:rPr>
        <w:t>da ponuda ponuđača Konzorcij INFRA DOO SARAJEVO I AIK DOO BANOVIĆI i ponuda ponuđača Trasa doo Sarajevo ne ispunjavaju kvalifikacione uslove za javnu nabavku usluga izrade projekatne dokumentacije za sanaciju tri mosta na regionalnim cestama Tuzlanskog kantona postavljene u tenderskoj dokumentaciji, iz sljedećih razloga:</w:t>
      </w:r>
    </w:p>
    <w:p w:rsidR="00984056" w:rsidRPr="00582E3C" w:rsidRDefault="00984056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56" w:rsidRPr="00582E3C" w:rsidRDefault="00984056" w:rsidP="009840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2E3C">
        <w:rPr>
          <w:rFonts w:ascii="Times New Roman" w:hAnsi="Times New Roman" w:cs="Times New Roman"/>
          <w:sz w:val="24"/>
          <w:szCs w:val="24"/>
          <w:u w:val="single"/>
        </w:rPr>
        <w:t>KONZORCIJ-INFRA DOO SARAJEVO I AIK DOO BANOVIĆI ne ispunjava uslov za kvalifikaciju u predmetnoj javnoj nabavci zbog: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82E3C">
        <w:rPr>
          <w:rFonts w:ascii="Times New Roman" w:hAnsi="Times New Roman" w:cs="Times New Roman"/>
          <w:sz w:val="24"/>
          <w:szCs w:val="24"/>
          <w:u w:val="single"/>
        </w:rPr>
        <w:t xml:space="preserve">U tenderskoj dokumentaciji predmetne javne nabavke u dijelu tehničke i profesionalne sposobnosti traženo je da ponuđač za postavljeni uslova u tački d) dostavi sljedeće dokaze: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sz w:val="24"/>
          <w:szCs w:val="24"/>
          <w:u w:val="single"/>
        </w:rPr>
        <w:t xml:space="preserve"> „-</w:t>
      </w:r>
      <w:r w:rsidRPr="00582E3C">
        <w:rPr>
          <w:rFonts w:ascii="Times New Roman" w:hAnsi="Times New Roman" w:cs="Times New Roman"/>
          <w:iCs/>
          <w:sz w:val="24"/>
          <w:szCs w:val="24"/>
          <w:u w:val="single"/>
          <w:lang w:val="hr-HR"/>
        </w:rPr>
        <w:t>izjavu</w:t>
      </w: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 tehničkoj opremljenosti i osposobljenosti i mjerama   kojima   raspolaže   pružalac   usluga   za izvršenje konkretnih usluga i osiguranje kvaliteta; Ponuđač treba imati na raspolaganju adekvatnu opremu za dinamičko ispitivanje mostova te fiksnu ili mobilnu laboratoriju za uzimanje i ispitivanje uzoraka asfalta i betona.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lastRenderedPageBreak/>
        <w:t xml:space="preserve">Kao dokaz pored Izjave o tehničkoj opremljenosti, ponuđač treba priložiti </w:t>
      </w:r>
      <w:r w:rsidRPr="00582E3C">
        <w:rPr>
          <w:rFonts w:ascii="Times New Roman" w:hAnsi="Times New Roman" w:cs="Times New Roman"/>
          <w:iCs/>
          <w:sz w:val="24"/>
          <w:szCs w:val="24"/>
          <w:u w:val="single"/>
          <w:lang w:val="hr-HR"/>
        </w:rPr>
        <w:t>spisak opreme</w:t>
      </w: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koja mu je na raspolaganju za: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 xml:space="preserve">- ispitivanje otpornosti – trajnosti betona usljed djelovanja mraza i soli za odmrzavanje: XF2 i XF4,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 xml:space="preserve">- za ispitivanje očvrslog betona na pritisak,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 xml:space="preserve">-za ispitivanje otpornosti betona na prodor vode pod pritiskom,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 xml:space="preserve">- spisak adekvatne mjerne opreme koja će se koristiti prilikom ispitivanja konstrukcije mostova prilikom ispitivanja mostova dinamičkim i statičkim opterećenjem.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>Za svu pobrajanu opremu na spisku potreban je dokaz o tehničkoj ispravnosti opreme, validnoj umjerenosti opreme, kao i dokaz o stručnoj osposobljenosti osoblja koje će raditi na laboratorijskim ispitivanjima (kopija certifikata ili diplome).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>Metode ispitivanja trebaju da zadovolje uslov akreditacije Instituta BATA ili drugogo relevantnog Instituta.“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</w:p>
    <w:p w:rsidR="00984056" w:rsidRPr="00582E3C" w:rsidRDefault="00984056" w:rsidP="00582E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>Ponuđač Konzorcij Infra doo i Aik inžinjering doo u ponudi nije dostavio spisak opreme koju ima na raspolaganju za - ispitivanje otpornosti – trajnosti betona usljed djelovanja mraza i soli za odmrzavanje: XF2 i XF4,</w:t>
      </w:r>
    </w:p>
    <w:p w:rsidR="00984056" w:rsidRPr="00582E3C" w:rsidRDefault="00984056" w:rsidP="00582E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>U ponudi Konzorcija, za opremu koja služi za ispitivanje mostova koja je ponuđaču na raspolaganju od strane IMK Instituta za materijale i konstrukcije Građevinskog fakulteta u Sarajevu, nije dostavljen dokaz o tehničkoj ispravnosti opreme, validnoj umjerenosti opreme, kao i dokaz o stručnoj osposobljenosti osoblja koje će raditi na laboratorijskim ispitivanjima (kopija certifikata ili diplome).</w:t>
      </w:r>
    </w:p>
    <w:p w:rsidR="00984056" w:rsidRPr="00582E3C" w:rsidRDefault="00984056" w:rsidP="00582E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>Također, u ponudi Konzorcija nije dostavljen dokaz akreditacije za sve metode, ponuđač ima akreditaciju samo za metode ispitivanje betona na pritisak.</w:t>
      </w:r>
    </w:p>
    <w:p w:rsidR="00984056" w:rsidRPr="00582E3C" w:rsidRDefault="00984056" w:rsidP="00582E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>Ne dostavljanjem svih trženih dokaza u ponudi, ponuđač konzorcij Infra doo Sarajevo i Aik inžinjering doo Banovići nije dokazao tehničku i profesionalnu sposobnost za predmetnu javnu nabavku u skladu sa traženim tenderskom dokumentacijom.</w:t>
      </w:r>
      <w:bookmarkStart w:id="1" w:name="_GoBack"/>
      <w:bookmarkEnd w:id="1"/>
    </w:p>
    <w:p w:rsidR="00984056" w:rsidRDefault="00984056" w:rsidP="00582E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lang w:val="hr-HR"/>
        </w:rPr>
      </w:pPr>
      <w:r w:rsidRPr="00582E3C">
        <w:rPr>
          <w:rFonts w:ascii="Times New Roman" w:hAnsi="Times New Roman"/>
          <w:iCs/>
          <w:lang w:val="hr-HR"/>
        </w:rPr>
        <w:t xml:space="preserve">Zbog naprijed navedenih razloga, ponuda ponuđača konzorcij Infra doo Sarajevo </w:t>
      </w:r>
      <w:r w:rsidR="00582E3C" w:rsidRPr="00582E3C">
        <w:rPr>
          <w:rFonts w:ascii="Times New Roman" w:hAnsi="Times New Roman"/>
          <w:iCs/>
          <w:lang w:val="hr-HR"/>
        </w:rPr>
        <w:t>i Aik inžinjering doo Banovići je odbijena</w:t>
      </w:r>
      <w:r w:rsidRPr="00582E3C">
        <w:rPr>
          <w:rFonts w:ascii="Times New Roman" w:hAnsi="Times New Roman"/>
          <w:iCs/>
          <w:lang w:val="hr-HR"/>
        </w:rPr>
        <w:t xml:space="preserve"> kao nepotpuna.</w:t>
      </w:r>
    </w:p>
    <w:p w:rsidR="00582E3C" w:rsidRPr="00582E3C" w:rsidRDefault="00582E3C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/>
          <w:iCs/>
          <w:lang w:val="hr-HR"/>
        </w:rPr>
      </w:pPr>
    </w:p>
    <w:p w:rsidR="00984056" w:rsidRPr="00582E3C" w:rsidRDefault="00984056" w:rsidP="009840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82E3C">
        <w:rPr>
          <w:rFonts w:ascii="Times New Roman" w:hAnsi="Times New Roman"/>
          <w:b/>
          <w:u w:val="single"/>
        </w:rPr>
        <w:t xml:space="preserve"> U tenderskoj dokumentaciji je jasno naznačeno da: ukoliko ponuđač ne dostavi jedan ili više dokaza traženih tenderskom dokumentacijom u dijelu Uslova za kvalifikaciju i u dijelu Ostali uslovi za kvalifikaciju, ili dostavi nepotpun dokaz, njegova ponuda će biti odbijena kao nepotpuna.</w:t>
      </w:r>
    </w:p>
    <w:p w:rsidR="00984056" w:rsidRPr="00582E3C" w:rsidRDefault="00984056" w:rsidP="009840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84056" w:rsidRPr="00582E3C" w:rsidRDefault="00984056" w:rsidP="00984056">
      <w:pPr>
        <w:rPr>
          <w:rFonts w:ascii="Times New Roman" w:hAnsi="Times New Roman" w:cs="Times New Roman"/>
          <w:u w:val="single"/>
        </w:rPr>
      </w:pPr>
      <w:r w:rsidRPr="00582E3C">
        <w:rPr>
          <w:rFonts w:ascii="Times New Roman" w:hAnsi="Times New Roman" w:cs="Times New Roman"/>
          <w:u w:val="single"/>
        </w:rPr>
        <w:t>DOO TRASA SARAJEVO</w:t>
      </w:r>
      <w:r w:rsidRPr="00582E3C">
        <w:rPr>
          <w:rFonts w:ascii="Times New Roman" w:hAnsi="Times New Roman" w:cs="Times New Roman"/>
        </w:rPr>
        <w:t xml:space="preserve"> </w:t>
      </w:r>
      <w:r w:rsidRPr="00582E3C">
        <w:rPr>
          <w:rFonts w:ascii="Times New Roman" w:hAnsi="Times New Roman" w:cs="Times New Roman"/>
          <w:u w:val="single"/>
        </w:rPr>
        <w:t>ne ispunjava uslov za kvalifikaciju u predmetnoj javnoj nabavci zbog: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82E3C">
        <w:rPr>
          <w:rFonts w:ascii="Times New Roman" w:hAnsi="Times New Roman" w:cs="Times New Roman"/>
          <w:sz w:val="24"/>
          <w:szCs w:val="24"/>
          <w:u w:val="single"/>
        </w:rPr>
        <w:t xml:space="preserve">U tenderskoj dokumentaciji predmetne javne nabavke u dijelu tehničke i profesionalne sposobnosti traženo je da ponuđač za postavljeni uslova u tački d) dostavi sljedeće dokaze: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r w:rsidRPr="00582E3C">
        <w:rPr>
          <w:rFonts w:ascii="Times New Roman" w:hAnsi="Times New Roman" w:cs="Times New Roman"/>
          <w:iCs/>
          <w:sz w:val="24"/>
          <w:szCs w:val="24"/>
          <w:u w:val="single"/>
          <w:lang w:val="hr-HR"/>
        </w:rPr>
        <w:t>izjavu</w:t>
      </w: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 tehničkoj opremljenosti i osposobljenosti i mjerama   kojima   raspolaže   pružalac   usluga   za izvršenje konkretnih usluga i osiguranje kvaliteta; </w:t>
      </w:r>
      <w:r w:rsidRPr="00582E3C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Ponuđač treba imati na raspolaganju adekvatnu opremu za dinamičko ispitivanje mostova te fiksnu ili mobilnu laboratoriju za uzimanje i ispitivanje uzoraka asfalta i betona.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Kao dokaz pored Izjave o tehničkoj opremljenosti, ponuđač treba priložiti </w:t>
      </w:r>
      <w:r w:rsidRPr="00582E3C">
        <w:rPr>
          <w:rFonts w:ascii="Times New Roman" w:hAnsi="Times New Roman" w:cs="Times New Roman"/>
          <w:iCs/>
          <w:sz w:val="24"/>
          <w:szCs w:val="24"/>
          <w:u w:val="single"/>
          <w:lang w:val="hr-HR"/>
        </w:rPr>
        <w:t>spisak opreme</w:t>
      </w: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koja mu je na raspolaganju za: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- ispitivanje otpornosti – trajnosti betona usljed djelovanja mraza i soli za odmrzavanje: XF2 i XF4,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- za ispitivanje očvrslog betona na pritisak,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- za ispitivanje otpornosti betona na prodor vode pod pritiskom,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- spisak adekvatne mjerne opreme koja će se koristiti prilikom ispitivanja konstrukcije mostova prilikom ispitivanja mostova dinamičkim i statičkim opterećenjem.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t>Za svu pobrajanu opremu na spisku potreban je dokaz o tehničkoj ispravnosti opreme, validnoj umjerenosti opreme, kao i dokaz o stručnoj osposobljenosti osoblja koje će raditi na laboratorijskim ispitivanjima (kopija certifikata ili diplome).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 w:cs="Times New Roman"/>
          <w:iCs/>
          <w:sz w:val="24"/>
          <w:szCs w:val="24"/>
          <w:lang w:val="hr-HR"/>
        </w:rPr>
        <w:lastRenderedPageBreak/>
        <w:t>Metode ispitivanja trebaju da zadovolje uslov akreditacije Instituta BATA ili drugogo relevantnog Instituta.“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:rsidR="00984056" w:rsidRPr="00582E3C" w:rsidRDefault="00984056" w:rsidP="00984056">
      <w:pPr>
        <w:jc w:val="both"/>
        <w:rPr>
          <w:sz w:val="24"/>
          <w:szCs w:val="24"/>
          <w:u w:val="single"/>
        </w:rPr>
      </w:pPr>
      <w:r w:rsidRPr="00582E3C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Ponuđač Trasa doo Sarajevo u ponudi je dostavio dokaz od firme DTQ doo Sarajevo, za koju u ponudi nije dostavljena veza između ponuđača Trasa doo Sarajevo i DTQ doo Sarajevo. </w:t>
      </w:r>
      <w:r w:rsidR="00582E3C" w:rsidRPr="00582E3C">
        <w:rPr>
          <w:rFonts w:ascii="Times New Roman" w:eastAsia="TimesNewRoman" w:hAnsi="Times New Roman" w:cs="Times New Roman"/>
          <w:sz w:val="24"/>
          <w:szCs w:val="24"/>
          <w:lang w:eastAsia="bs-Latn-BA"/>
        </w:rPr>
        <w:t>U ponudi n</w:t>
      </w:r>
      <w:r w:rsidRPr="00582E3C">
        <w:rPr>
          <w:rFonts w:ascii="Times New Roman" w:eastAsia="TimesNewRoman" w:hAnsi="Times New Roman" w:cs="Times New Roman"/>
          <w:sz w:val="24"/>
          <w:szCs w:val="24"/>
          <w:lang w:eastAsia="bs-Latn-BA"/>
        </w:rPr>
        <w:t>ema Ugovora o zajedničkom nastupu, Izjave od strane DTQ doo Sarajevo da opremu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582E3C">
        <w:rPr>
          <w:rFonts w:ascii="Times New Roman" w:eastAsia="TimesNewRoman" w:hAnsi="Times New Roman" w:cs="Times New Roman"/>
          <w:sz w:val="24"/>
          <w:szCs w:val="24"/>
          <w:lang w:eastAsia="bs-Latn-BA"/>
        </w:rPr>
        <w:t>ustupa ponuđaču Trasa doo Sarajevo na raspolaganje za ovaj predmet nabavke, niti je priložen bilo kakav dokaz kojim se mogu povezati ova dva poslovna subjekta.</w:t>
      </w:r>
    </w:p>
    <w:p w:rsidR="00984056" w:rsidRPr="00582E3C" w:rsidRDefault="00984056" w:rsidP="009840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582E3C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U tenderskoj dokumentaciji je jasno naznačeno da:</w:t>
      </w:r>
      <w:r w:rsidR="00582E3C" w:rsidRPr="00582E3C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  <w:r w:rsidRPr="00582E3C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„Kao dokaz pored Izjave o tehničkoj opremljenosti, ponuđač treba priložiti spisak opreme koja mu je na raspolaganju za:</w:t>
      </w:r>
    </w:p>
    <w:p w:rsidR="00984056" w:rsidRPr="00582E3C" w:rsidRDefault="00984056" w:rsidP="009840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hr-HR"/>
        </w:rPr>
      </w:pPr>
      <w:r w:rsidRPr="00582E3C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- </w:t>
      </w:r>
      <w:r w:rsidRPr="00582E3C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hr-HR"/>
        </w:rPr>
        <w:t>ispitivanje otpornosti – trajnosti betona usljed djelovanja mraza i soli za odmrzavanje: XF2 i XF4</w:t>
      </w:r>
      <w:r w:rsidRPr="00582E3C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za ispitivanje očvrslog betona na pritisak, te za </w:t>
      </w:r>
      <w:r w:rsidRPr="00582E3C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hr-HR"/>
        </w:rPr>
        <w:t>ispitivanje otpornosti betona na prodor vode pod pritiskom“</w:t>
      </w:r>
    </w:p>
    <w:p w:rsidR="00984056" w:rsidRPr="00582E3C" w:rsidRDefault="00984056" w:rsidP="00984056">
      <w:pPr>
        <w:jc w:val="both"/>
        <w:rPr>
          <w:rFonts w:ascii="Times New Roman" w:hAnsi="Times New Roman" w:cs="Times New Roman"/>
          <w:sz w:val="24"/>
          <w:szCs w:val="24"/>
        </w:rPr>
      </w:pPr>
      <w:r w:rsidRPr="00582E3C">
        <w:rPr>
          <w:rFonts w:ascii="Times New Roman" w:hAnsi="Times New Roman" w:cs="Times New Roman"/>
          <w:sz w:val="24"/>
          <w:szCs w:val="24"/>
        </w:rPr>
        <w:t xml:space="preserve">U ponudi ponuđača Trasa doo Sarajevo nije dostavljen spisak opreme koja je ponuđaču na raspolaganju za </w:t>
      </w:r>
      <w:r w:rsidRPr="00582E3C">
        <w:rPr>
          <w:rFonts w:ascii="Times New Roman" w:hAnsi="Times New Roman" w:cs="Times New Roman"/>
          <w:sz w:val="24"/>
          <w:szCs w:val="24"/>
          <w:u w:val="single"/>
        </w:rPr>
        <w:t>ispitivanje otpornosti – trajnosti betona usljed djelovanja mraza i soli za odmrzavanje: XF2 i XF4</w:t>
      </w:r>
      <w:r w:rsidRPr="00582E3C">
        <w:rPr>
          <w:rFonts w:ascii="Times New Roman" w:hAnsi="Times New Roman" w:cs="Times New Roman"/>
          <w:sz w:val="24"/>
          <w:szCs w:val="24"/>
        </w:rPr>
        <w:t xml:space="preserve">, samo Izjava, kao ni spisak opreme </w:t>
      </w:r>
      <w:r w:rsidRPr="00582E3C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za </w:t>
      </w:r>
      <w:r w:rsidRPr="00582E3C">
        <w:rPr>
          <w:rFonts w:ascii="Times New Roman" w:eastAsia="TimesNewRoman" w:hAnsi="Times New Roman" w:cs="Times New Roman"/>
          <w:sz w:val="24"/>
          <w:szCs w:val="24"/>
          <w:u w:val="single"/>
          <w:lang w:eastAsia="bs-Latn-BA"/>
        </w:rPr>
        <w:t>ispitivanje otpornosti betona na prodor vode pod pritiskom</w:t>
      </w:r>
      <w:r w:rsidRPr="00582E3C">
        <w:rPr>
          <w:rFonts w:ascii="Times New Roman" w:hAnsi="Times New Roman" w:cs="Times New Roman"/>
          <w:sz w:val="24"/>
          <w:szCs w:val="24"/>
        </w:rPr>
        <w:t>.</w:t>
      </w:r>
    </w:p>
    <w:p w:rsidR="00984056" w:rsidRPr="00582E3C" w:rsidRDefault="00984056" w:rsidP="00582E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/>
          <w:iCs/>
          <w:sz w:val="24"/>
          <w:szCs w:val="24"/>
          <w:lang w:val="hr-HR"/>
        </w:rPr>
        <w:t>Tenderskom dokumentacijom se tražio i dokaz o tehničkoj ispravnosti opreme, validnoj umjerenosti opreme, kao i dokaz o stručnoj osposobljenosti osoblja koje će raditi na laboratorijskim ispitivanjima (kopija certifikata ili diplome).</w:t>
      </w:r>
    </w:p>
    <w:p w:rsidR="00984056" w:rsidRDefault="00984056" w:rsidP="00984056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U ponudi ponuđača Trasa doo Sarajevo nije dostavljen dokaz o tehničkoj ispravnosti opreme, validnoj umjerenosti i stručnoj osposobljenosti osoblja za opremu</w:t>
      </w:r>
      <w:r w:rsidRPr="00524F23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koja je ponuđaču na raspolaganju za ispitivanje otpornosti – trajnosti betona usljed djelovanja mraza i soli za odmrzavanje: XF2 i XF4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, kao i </w:t>
      </w:r>
      <w:r w:rsidRPr="00524F23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za 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opremu za </w:t>
      </w:r>
      <w:r w:rsidRPr="00524F23">
        <w:rPr>
          <w:rFonts w:ascii="Times New Roman" w:eastAsia="TimesNewRoman" w:hAnsi="Times New Roman" w:cs="Times New Roman"/>
          <w:sz w:val="24"/>
          <w:szCs w:val="24"/>
          <w:lang w:eastAsia="bs-Latn-BA"/>
        </w:rPr>
        <w:t>ispitivanje otpornosti betona na prodor vode pod pritiskom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984056" w:rsidRDefault="00984056" w:rsidP="00984056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Za ostalu opremu za ispitivanje betona dostavljen</w:t>
      </w:r>
      <w:r w:rsidR="00582E3C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dokaz o </w:t>
      </w:r>
      <w:r w:rsidRPr="00524F23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tehničkoj ispravnosti opreme, validnoj umjerenosti opreme, kao i dokaz o stručnoj osposobljenosti osoblja koje će raditi na laboratorijskim ispitivanjima 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od firme DTQ doo Sarajevo, ali u ponudi nema niti jedan dokaz koji povezuje ova dva privredna subjekta. 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  <w:r w:rsidRPr="00582E3C">
        <w:rPr>
          <w:rFonts w:ascii="Times New Roman" w:hAnsi="Times New Roman"/>
          <w:iCs/>
          <w:sz w:val="24"/>
          <w:szCs w:val="24"/>
          <w:lang w:val="hr-HR"/>
        </w:rPr>
        <w:t xml:space="preserve">Zbog naprijed navedenih razloga, ponuda ponuđača Trasa doo Sarajevo </w:t>
      </w:r>
      <w:r w:rsidR="00582E3C">
        <w:rPr>
          <w:rFonts w:ascii="Times New Roman" w:hAnsi="Times New Roman"/>
          <w:iCs/>
          <w:sz w:val="24"/>
          <w:szCs w:val="24"/>
          <w:lang w:val="hr-HR"/>
        </w:rPr>
        <w:t>j</w:t>
      </w:r>
      <w:r w:rsidRPr="00582E3C">
        <w:rPr>
          <w:rFonts w:ascii="Times New Roman" w:hAnsi="Times New Roman"/>
          <w:iCs/>
          <w:sz w:val="24"/>
          <w:szCs w:val="24"/>
          <w:lang w:val="hr-HR"/>
        </w:rPr>
        <w:t>e odbij</w:t>
      </w:r>
      <w:r w:rsidR="00582E3C">
        <w:rPr>
          <w:rFonts w:ascii="Times New Roman" w:hAnsi="Times New Roman"/>
          <w:iCs/>
          <w:sz w:val="24"/>
          <w:szCs w:val="24"/>
          <w:lang w:val="hr-HR"/>
        </w:rPr>
        <w:t>ena</w:t>
      </w:r>
      <w:r w:rsidRPr="00582E3C">
        <w:rPr>
          <w:rFonts w:ascii="Times New Roman" w:hAnsi="Times New Roman"/>
          <w:iCs/>
          <w:sz w:val="24"/>
          <w:szCs w:val="24"/>
          <w:lang w:val="hr-HR"/>
        </w:rPr>
        <w:t xml:space="preserve"> kao nepotpuna.</w:t>
      </w:r>
    </w:p>
    <w:p w:rsidR="00984056" w:rsidRPr="00582E3C" w:rsidRDefault="00984056" w:rsidP="00984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lang w:val="hr-HR"/>
        </w:rPr>
      </w:pPr>
    </w:p>
    <w:p w:rsidR="00984056" w:rsidRDefault="00984056" w:rsidP="009840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U tenderskoj dokumentaciji je jasno naznačeno da: u</w:t>
      </w:r>
      <w:r w:rsidRPr="004641BD">
        <w:rPr>
          <w:rFonts w:ascii="Times New Roman" w:hAnsi="Times New Roman"/>
          <w:b/>
          <w:u w:val="single"/>
        </w:rPr>
        <w:t>koliko ponuđač ne dostavi jedan ili više dokaza traženih tenderskom dokumentacijom u dijelu Uslova za kvalifikaciju i u dijelu Ostali uslovi za kvalifikaciju, ili dostavi nepotpun dokaz, njegova ponuda će biti odbijena kao nepotpuna.</w:t>
      </w:r>
    </w:p>
    <w:p w:rsidR="00582E3C" w:rsidRDefault="00582E3C" w:rsidP="0098405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984056" w:rsidRPr="00052D90" w:rsidRDefault="00984056" w:rsidP="0098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52D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 ponuđača INSTITUT „GIT“ DOO TUZLA prihvatljiva je u pravnom, tehničkom i ekonomskom smislu i ispunjava zahtjeve ugovornog organa navedene u tenderskoj dokumentaciji.</w:t>
      </w:r>
    </w:p>
    <w:p w:rsidR="00984056" w:rsidRDefault="00984056" w:rsidP="00984056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</w:t>
      </w: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 xml:space="preserve">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582E3C" w:rsidRPr="006A5064" w:rsidRDefault="00582E3C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582E3C" w:rsidRPr="00582E3C" w:rsidTr="008E228C">
        <w:tc>
          <w:tcPr>
            <w:tcW w:w="675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582E3C" w:rsidRPr="00582E3C" w:rsidTr="008E228C">
        <w:tc>
          <w:tcPr>
            <w:tcW w:w="675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INSTITUT „GIT“ DOO TUZLA</w:t>
            </w:r>
          </w:p>
        </w:tc>
        <w:tc>
          <w:tcPr>
            <w:tcW w:w="2693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582E3C" w:rsidRPr="00582E3C" w:rsidRDefault="00582E3C" w:rsidP="00582E3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93.400,00</w:t>
            </w:r>
          </w:p>
        </w:tc>
        <w:tc>
          <w:tcPr>
            <w:tcW w:w="1984" w:type="dxa"/>
          </w:tcPr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582E3C" w:rsidRPr="00582E3C" w:rsidRDefault="00582E3C" w:rsidP="00582E3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E3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</w:tbl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33" w:rsidRDefault="00675033" w:rsidP="006C31A4">
      <w:pPr>
        <w:spacing w:after="0" w:line="240" w:lineRule="auto"/>
      </w:pPr>
      <w:r>
        <w:separator/>
      </w:r>
    </w:p>
  </w:endnote>
  <w:endnote w:type="continuationSeparator" w:id="0">
    <w:p w:rsidR="00675033" w:rsidRDefault="00675033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33" w:rsidRDefault="00675033" w:rsidP="006C31A4">
      <w:pPr>
        <w:spacing w:after="0" w:line="240" w:lineRule="auto"/>
      </w:pPr>
      <w:r>
        <w:separator/>
      </w:r>
    </w:p>
  </w:footnote>
  <w:footnote w:type="continuationSeparator" w:id="0">
    <w:p w:rsidR="00675033" w:rsidRDefault="00675033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52D90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46105"/>
    <w:rsid w:val="005674AD"/>
    <w:rsid w:val="00582E3C"/>
    <w:rsid w:val="005B21AC"/>
    <w:rsid w:val="005D4306"/>
    <w:rsid w:val="005D556E"/>
    <w:rsid w:val="00604D0E"/>
    <w:rsid w:val="00606264"/>
    <w:rsid w:val="0060776A"/>
    <w:rsid w:val="00653D63"/>
    <w:rsid w:val="00664B17"/>
    <w:rsid w:val="00675033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84056"/>
    <w:rsid w:val="009B7D3F"/>
    <w:rsid w:val="009E21D0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E12A-5D44-462C-B152-14AC6BB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3</cp:revision>
  <cp:lastPrinted>2020-09-14T09:58:00Z</cp:lastPrinted>
  <dcterms:created xsi:type="dcterms:W3CDTF">2020-09-14T09:51:00Z</dcterms:created>
  <dcterms:modified xsi:type="dcterms:W3CDTF">2020-09-14T10:01:00Z</dcterms:modified>
</cp:coreProperties>
</file>