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6800"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L1</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LOT 1</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LOT 1</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1 - </w:t>
      </w:r>
      <w:r w:rsidRPr="00E70672">
        <w:rPr>
          <w:rFonts w:ascii="Times New Roman" w:eastAsia="TimesNewRoman" w:hAnsi="Times New Roman" w:cs="Times New Roman"/>
          <w:sz w:val="24"/>
          <w:szCs w:val="24"/>
          <w:lang w:eastAsia="bs-Latn-BA"/>
        </w:rPr>
        <w:t xml:space="preserve">   ponuđaču </w:t>
      </w:r>
      <w:r w:rsidRPr="00D72FAE">
        <w:rPr>
          <w:rFonts w:ascii="Times New Roman" w:eastAsia="TimesNewRoman" w:hAnsi="Times New Roman" w:cs="Times New Roman"/>
          <w:b/>
          <w:sz w:val="24"/>
          <w:szCs w:val="24"/>
          <w:lang w:eastAsia="bs-Latn-BA"/>
        </w:rPr>
        <w:t>DOO CPK BANJA LUKA</w:t>
      </w:r>
      <w:r w:rsidRPr="00D72FAE">
        <w:rPr>
          <w:rFonts w:ascii="Times New Roman" w:eastAsia="TimesNewRoman" w:hAnsi="Times New Roman" w:cs="Times New Roman"/>
          <w:sz w:val="24"/>
          <w:szCs w:val="24"/>
          <w:lang w:eastAsia="bs-Latn-BA"/>
        </w:rPr>
        <w:t xml:space="preserve">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Pr="00295366">
        <w:rPr>
          <w:rFonts w:ascii="Times New Roman" w:hAnsi="Times New Roman" w:cs="Times New Roman"/>
          <w:sz w:val="24"/>
          <w:szCs w:val="24"/>
        </w:rPr>
        <w:t>glavnog projekta izgradnje pješačke staze (trotoara) pored regionalne ceste R-465a Kerep-Zelinja (granica FBiH), dionica: od raskršća za Toke (st.km. 0+630 prema BCP) do raskršća za Međiđu (st.km. 2+030 prema BCP) u Kerepu u dužini cca L=1.400,00 m</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od </w:t>
      </w:r>
      <w:r w:rsidRPr="00295366">
        <w:rPr>
          <w:rFonts w:ascii="Times New Roman" w:eastAsia="TimesNewRoman" w:hAnsi="Times New Roman" w:cs="Times New Roman"/>
          <w:b/>
          <w:sz w:val="24"/>
          <w:szCs w:val="24"/>
        </w:rPr>
        <w:t xml:space="preserve">2.315,00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D72FAE" w:rsidRDefault="00D72FAE"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1 iznosila je </w:t>
      </w:r>
      <w:r w:rsidR="003E7079" w:rsidRPr="003E7079">
        <w:rPr>
          <w:rFonts w:ascii="Times New Roman" w:hAnsi="Times New Roman" w:cs="Times New Roman"/>
          <w:color w:val="000000"/>
          <w:sz w:val="24"/>
          <w:szCs w:val="24"/>
        </w:rPr>
        <w:t>5.982,00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3E7079" w:rsidRPr="003E7079" w:rsidRDefault="003E7079" w:rsidP="003E7079">
      <w:pPr>
        <w:spacing w:before="120" w:after="120" w:line="240" w:lineRule="auto"/>
        <w:ind w:right="-143"/>
        <w:jc w:val="both"/>
        <w:rPr>
          <w:rFonts w:ascii="Times New Roman" w:hAnsi="Times New Roman" w:cs="Times New Roman"/>
          <w:color w:val="000000"/>
          <w:sz w:val="24"/>
          <w:szCs w:val="24"/>
        </w:rPr>
      </w:pPr>
      <w:r w:rsidRPr="003E7079">
        <w:rPr>
          <w:rFonts w:ascii="Times New Roman" w:hAnsi="Times New Roman" w:cs="Times New Roman"/>
          <w:sz w:val="24"/>
          <w:szCs w:val="24"/>
        </w:rPr>
        <w:t>LOT 1- Usluga izrade glavnog projekta izgradnje pješačke staze (trotoara) pored regionalne ceste R-465a Kerep-Zelinja (granica FBiH), dionica: od raskršća za Toke (st.km. 0+630 prema BCP) do raskršća za Međiđu (st.km. 2+030 prema BCP) u Kerepu u dužini cca L=1.400,00m</w:t>
      </w:r>
    </w:p>
    <w:p w:rsidR="00A7623F" w:rsidRPr="00FC73D7" w:rsidRDefault="00A7623F" w:rsidP="00FC73D7">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FC73D7">
        <w:rPr>
          <w:rFonts w:ascii="Times New Roman" w:hAnsi="Times New Roman" w:cs="Times New Roman"/>
          <w:color w:val="000000"/>
          <w:sz w:val="24"/>
          <w:szCs w:val="24"/>
        </w:rPr>
        <w:t xml:space="preserve">da je ukupan broj pristiglih ponuda </w:t>
      </w:r>
      <w:r w:rsidR="003E7079">
        <w:rPr>
          <w:rFonts w:ascii="Times New Roman" w:hAnsi="Times New Roman" w:cs="Times New Roman"/>
          <w:color w:val="000000"/>
          <w:sz w:val="24"/>
          <w:szCs w:val="24"/>
        </w:rPr>
        <w:t>3</w:t>
      </w:r>
      <w:r w:rsidRPr="00FC73D7">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FC73D7">
        <w:rPr>
          <w:rFonts w:ascii="Times New Roman" w:hAnsi="Times New Roman" w:cs="Times New Roman"/>
          <w:color w:val="000000"/>
          <w:sz w:val="24"/>
          <w:szCs w:val="24"/>
        </w:rPr>
        <w:t>su</w:t>
      </w:r>
      <w:r>
        <w:rPr>
          <w:rFonts w:ascii="Times New Roman" w:hAnsi="Times New Roman" w:cs="Times New Roman"/>
          <w:color w:val="000000"/>
          <w:sz w:val="24"/>
          <w:szCs w:val="24"/>
        </w:rPr>
        <w:t xml:space="preserve"> blagovremeno zaprimljen</w:t>
      </w:r>
      <w:r w:rsidR="00FC73D7">
        <w:rPr>
          <w:rFonts w:ascii="Times New Roman" w:hAnsi="Times New Roman" w:cs="Times New Roman"/>
          <w:color w:val="000000"/>
          <w:sz w:val="24"/>
          <w:szCs w:val="24"/>
        </w:rPr>
        <w:t>e</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3</w:t>
      </w:r>
      <w:r w:rsidRPr="006A5064">
        <w:rPr>
          <w:rFonts w:ascii="Times New Roman" w:hAnsi="Times New Roman" w:cs="Times New Roman"/>
          <w:color w:val="000000"/>
          <w:sz w:val="24"/>
          <w:szCs w:val="24"/>
        </w:rPr>
        <w:t xml:space="preserve"> ponud</w:t>
      </w:r>
      <w:r w:rsidR="00FC73D7">
        <w:rPr>
          <w:rFonts w:ascii="Times New Roman" w:hAnsi="Times New Roman" w:cs="Times New Roman"/>
          <w:color w:val="000000"/>
          <w:sz w:val="24"/>
          <w:szCs w:val="24"/>
        </w:rPr>
        <w:t>e</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Ponude ponuđača (</w:t>
      </w:r>
      <w:r w:rsidRPr="00A557B5">
        <w:rPr>
          <w:rFonts w:ascii="Times New Roman" w:eastAsia="Times New Roman" w:hAnsi="Times New Roman" w:cs="Times New Roman"/>
          <w:sz w:val="24"/>
          <w:szCs w:val="24"/>
          <w:lang w:val="hr-HR" w:eastAsia="hr-HR"/>
        </w:rPr>
        <w:t>DOO CPK BANJA LUKA</w:t>
      </w:r>
      <w:r>
        <w:rPr>
          <w:rFonts w:ascii="Times New Roman" w:eastAsia="Times New Roman" w:hAnsi="Times New Roman" w:cs="Times New Roman"/>
          <w:sz w:val="24"/>
          <w:szCs w:val="24"/>
          <w:lang w:val="hr-HR" w:eastAsia="hr-HR"/>
        </w:rPr>
        <w:t xml:space="preserve"> i</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INSTITUT „GIT“ DOO TUZLA</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i/>
          <w:sz w:val="24"/>
          <w:szCs w:val="24"/>
          <w:lang w:val="hr-HR" w:eastAsia="hr-HR"/>
        </w:rPr>
        <w:t>Ponuđač</w:t>
      </w:r>
      <w:r>
        <w:rPr>
          <w:rFonts w:ascii="Times New Roman" w:eastAsia="Times New Roman" w:hAnsi="Times New Roman" w:cs="Times New Roman"/>
          <w:sz w:val="24"/>
          <w:szCs w:val="24"/>
          <w:lang w:val="hr-HR" w:eastAsia="hr-HR"/>
        </w:rPr>
        <w:t xml:space="preserve"> </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u ponudi </w:t>
      </w:r>
      <w:r w:rsidRPr="00231601">
        <w:rPr>
          <w:rFonts w:ascii="Times New Roman" w:eastAsia="Times New Roman" w:hAnsi="Times New Roman" w:cs="Times New Roman"/>
          <w:sz w:val="24"/>
          <w:szCs w:val="24"/>
          <w:lang w:val="hr-HR" w:eastAsia="hr-HR"/>
        </w:rPr>
        <w:t xml:space="preserve">nije dostavio kopiju diplome za  diplomiranog inžinjera građevine, kao ni uvjerenje o položenom stručnom ispitu za dipl. inž građevine, kako je to traženo tenderskom dokumentacijom u dijelu zadovoljavanja tehničko-profesionalnih sposobnosti pod b), u ponudi </w:t>
      </w:r>
      <w:r>
        <w:rPr>
          <w:rFonts w:ascii="Times New Roman" w:eastAsia="Times New Roman" w:hAnsi="Times New Roman" w:cs="Times New Roman"/>
          <w:sz w:val="24"/>
          <w:szCs w:val="24"/>
          <w:lang w:val="hr-HR" w:eastAsia="hr-HR"/>
        </w:rPr>
        <w:t xml:space="preserve">je </w:t>
      </w:r>
      <w:r w:rsidRPr="00231601">
        <w:rPr>
          <w:rFonts w:ascii="Times New Roman" w:eastAsia="Times New Roman" w:hAnsi="Times New Roman" w:cs="Times New Roman"/>
          <w:sz w:val="24"/>
          <w:szCs w:val="24"/>
          <w:lang w:val="hr-HR" w:eastAsia="hr-HR"/>
        </w:rPr>
        <w:t>dostavljen</w:t>
      </w:r>
      <w:r>
        <w:rPr>
          <w:rFonts w:ascii="Times New Roman" w:eastAsia="Times New Roman" w:hAnsi="Times New Roman" w:cs="Times New Roman"/>
          <w:sz w:val="24"/>
          <w:szCs w:val="24"/>
          <w:lang w:val="hr-HR" w:eastAsia="hr-HR"/>
        </w:rPr>
        <w:t>a</w:t>
      </w:r>
      <w:r w:rsidRPr="00231601">
        <w:rPr>
          <w:rFonts w:ascii="Times New Roman" w:eastAsia="Times New Roman" w:hAnsi="Times New Roman" w:cs="Times New Roman"/>
          <w:sz w:val="24"/>
          <w:szCs w:val="24"/>
          <w:lang w:val="hr-HR" w:eastAsia="hr-HR"/>
        </w:rPr>
        <w:t xml:space="preserve"> samo potvrda od strane PIO/MIO za osobu Bikić Mirko</w:t>
      </w:r>
      <w:r>
        <w:rPr>
          <w:rFonts w:ascii="Times New Roman" w:eastAsia="Times New Roman" w:hAnsi="Times New Roman" w:cs="Times New Roman"/>
          <w:sz w:val="24"/>
          <w:szCs w:val="24"/>
          <w:lang w:val="hr-HR" w:eastAsia="hr-HR"/>
        </w:rPr>
        <w:t>.</w:t>
      </w:r>
    </w:p>
    <w:p w:rsidR="003E7079" w:rsidRPr="00231601" w:rsidRDefault="003E7079" w:rsidP="003E70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Također u ponudi ponuđač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nije dostavio Izjavu traženu </w:t>
      </w:r>
      <w:r w:rsidRPr="00231601">
        <w:rPr>
          <w:rFonts w:ascii="Times New Roman" w:eastAsia="Times New Roman" w:hAnsi="Times New Roman" w:cs="Times New Roman"/>
          <w:sz w:val="24"/>
          <w:szCs w:val="24"/>
          <w:lang w:val="hr-HR" w:eastAsia="hr-HR"/>
        </w:rPr>
        <w:t xml:space="preserve">u dijelu dokazivanja tehničke i profesionalne sposobnosti pod </w:t>
      </w:r>
      <w:r>
        <w:rPr>
          <w:rFonts w:ascii="Times New Roman" w:eastAsia="Times New Roman" w:hAnsi="Times New Roman" w:cs="Times New Roman"/>
          <w:sz w:val="24"/>
          <w:szCs w:val="24"/>
          <w:lang w:val="hr-HR" w:eastAsia="hr-HR"/>
        </w:rPr>
        <w:t>c</w:t>
      </w:r>
      <w:r w:rsidRPr="00231601">
        <w:rPr>
          <w:rFonts w:ascii="Times New Roman" w:eastAsia="Times New Roman" w:hAnsi="Times New Roman" w:cs="Times New Roman"/>
          <w:sz w:val="24"/>
          <w:szCs w:val="24"/>
          <w:lang w:val="hr-HR" w:eastAsia="hr-HR"/>
        </w:rPr>
        <w:t>)</w:t>
      </w:r>
      <w:r w:rsidRPr="00231601">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3E7079" w:rsidRDefault="003E7079" w:rsidP="003E707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hr-HR" w:eastAsia="hr-HR"/>
        </w:rPr>
        <w:t xml:space="preserve">Zbog nedostavljanja traženog dokaza u dijelu tehničko-profesonalne sposobnosti pod b) i c) ponuda ponuđača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3E7079" w:rsidRPr="003E7079" w:rsidRDefault="003E7079" w:rsidP="003E7079">
      <w:pPr>
        <w:spacing w:after="0" w:line="240" w:lineRule="auto"/>
        <w:jc w:val="both"/>
        <w:rPr>
          <w:rFonts w:ascii="Times New Roman" w:eastAsia="Times New Roman" w:hAnsi="Times New Roman" w:cs="Times New Roman"/>
          <w:sz w:val="24"/>
          <w:szCs w:val="24"/>
          <w:lang w:val="hr-HR" w:eastAsia="hr-HR"/>
        </w:rPr>
      </w:pPr>
      <w:bookmarkStart w:id="1" w:name="_GoBack"/>
      <w:bookmarkEnd w:id="1"/>
      <w:r w:rsidRPr="003E7079">
        <w:rPr>
          <w:rFonts w:ascii="Times New Roman" w:eastAsia="Times New Roman" w:hAnsi="Times New Roman" w:cs="Times New Roman"/>
          <w:sz w:val="24"/>
          <w:szCs w:val="24"/>
          <w:lang w:val="hr-HR" w:eastAsia="hr-HR"/>
        </w:rPr>
        <w:t xml:space="preserve">Tokom postupka pregleda i ocjene ponuda na  LOT-u </w:t>
      </w:r>
      <w:r>
        <w:rPr>
          <w:rFonts w:ascii="Times New Roman" w:eastAsia="Times New Roman" w:hAnsi="Times New Roman" w:cs="Times New Roman"/>
          <w:sz w:val="24"/>
          <w:szCs w:val="24"/>
          <w:lang w:val="hr-HR" w:eastAsia="hr-HR"/>
        </w:rPr>
        <w:t>,</w:t>
      </w:r>
      <w:r w:rsidRPr="003E7079">
        <w:rPr>
          <w:rFonts w:ascii="Times New Roman" w:eastAsia="Times New Roman" w:hAnsi="Times New Roman" w:cs="Times New Roman"/>
          <w:sz w:val="24"/>
          <w:szCs w:val="24"/>
          <w:lang w:val="hr-HR" w:eastAsia="hr-HR"/>
        </w:rPr>
        <w:t xml:space="preserve"> od ponuđača CPK doo Banja Luka zatraženo pojašnjenje neprirodno niske cijene u skladu sa članom 66. Zakona, jer je na </w:t>
      </w:r>
      <w:r>
        <w:rPr>
          <w:rFonts w:ascii="Times New Roman" w:eastAsia="Times New Roman" w:hAnsi="Times New Roman" w:cs="Times New Roman"/>
          <w:sz w:val="24"/>
          <w:szCs w:val="24"/>
          <w:lang w:val="hr-HR" w:eastAsia="hr-HR"/>
        </w:rPr>
        <w:t>tom LOT-u</w:t>
      </w:r>
      <w:r w:rsidRPr="003E7079">
        <w:rPr>
          <w:rFonts w:ascii="Times New Roman" w:eastAsia="Times New Roman" w:hAnsi="Times New Roman" w:cs="Times New Roman"/>
          <w:sz w:val="24"/>
          <w:szCs w:val="24"/>
          <w:lang w:val="hr-HR" w:eastAsia="hr-HR"/>
        </w:rPr>
        <w:t xml:space="preserve"> navedena cijena ponude za više od 20% niža od cijene drugorangirane prihvatljive ponude.</w:t>
      </w:r>
    </w:p>
    <w:p w:rsidR="003E7079" w:rsidRPr="003E7079" w:rsidRDefault="003E7079" w:rsidP="003E7079">
      <w:pPr>
        <w:tabs>
          <w:tab w:val="left" w:pos="8460"/>
        </w:tabs>
        <w:jc w:val="both"/>
        <w:rPr>
          <w:rFonts w:ascii="Times New Roman" w:eastAsia="Times New Roman" w:hAnsi="Times New Roman" w:cs="Times New Roman"/>
          <w:sz w:val="24"/>
          <w:szCs w:val="24"/>
          <w:lang w:val="hr-HR" w:eastAsia="hr-HR"/>
        </w:rPr>
      </w:pPr>
      <w:r w:rsidRPr="003E7079">
        <w:rPr>
          <w:rFonts w:ascii="Times New Roman" w:eastAsia="Times New Roman" w:hAnsi="Times New Roman" w:cs="Times New Roman"/>
          <w:sz w:val="24"/>
          <w:szCs w:val="24"/>
          <w:lang w:val="hr-HR" w:eastAsia="hr-HR"/>
        </w:rPr>
        <w:t>Ponuđač CPK doo Banja Luka je dokumentacijom broj: 319-3/22 dostavljenom 15.03.2022. godine, u ostavljenom roku, obrazložio neprirodno nisku cijenu u skladu sa članom 66. Zakona. Ovo obrazloženje je Komisija u potpunosti prihvatila.</w:t>
      </w: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DB7BA0" w:rsidRDefault="00DB7BA0" w:rsidP="00231C1A">
      <w:pPr>
        <w:spacing w:after="0" w:line="240" w:lineRule="auto"/>
        <w:jc w:val="both"/>
        <w:rPr>
          <w:rFonts w:ascii="Times New Roman" w:eastAsia="Times New Roman" w:hAnsi="Times New Roman" w:cs="Times New Roman"/>
          <w:bCs/>
          <w:sz w:val="24"/>
          <w:szCs w:val="24"/>
          <w:lang w:val="hr-HR" w:eastAsia="hr-HR"/>
        </w:rPr>
      </w:pP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p>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p>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p>
    <w:p w:rsidR="003E7079" w:rsidRPr="001B2F0C" w:rsidRDefault="003E7079" w:rsidP="003E7079">
      <w:pPr>
        <w:autoSpaceDE w:val="0"/>
        <w:autoSpaceDN w:val="0"/>
        <w:adjustRightInd w:val="0"/>
        <w:spacing w:after="0" w:line="240" w:lineRule="auto"/>
        <w:jc w:val="center"/>
        <w:rPr>
          <w:rFonts w:ascii="Garamond" w:eastAsia="TimesNewRoman" w:hAnsi="Garamond" w:cs="Times New Roman"/>
          <w:sz w:val="24"/>
          <w:szCs w:val="24"/>
        </w:rPr>
      </w:pPr>
      <w:r w:rsidRPr="001B2F0C">
        <w:rPr>
          <w:rFonts w:ascii="Garamond" w:eastAsia="TimesNewRoman" w:hAnsi="Garamond" w:cs="Times New Roman"/>
          <w:sz w:val="24"/>
          <w:szCs w:val="24"/>
        </w:rPr>
        <w:lastRenderedPageBreak/>
        <w:t xml:space="preserve">LOT 1- Izrada </w:t>
      </w:r>
      <w:r w:rsidRPr="005A67B6">
        <w:rPr>
          <w:rFonts w:ascii="Garamond" w:eastAsia="TimesNewRoman" w:hAnsi="Garamond" w:cs="Times New Roman"/>
          <w:sz w:val="24"/>
          <w:szCs w:val="24"/>
        </w:rPr>
        <w:t>glavnog projekta izgradnje pješačke staze (trotoara) pored regionalne ceste R-465a Kerep-Zelinja (granica FBiH), dionica: od raskršća za Toke (st.km. 0+630 prema BCP) do raskršća za Međiđu (st.km. 2+030 prema BCP) u Kerepu u dužini cca L=1.400,00m</w:t>
      </w:r>
    </w:p>
    <w:p w:rsidR="003E7079" w:rsidRDefault="003E7079" w:rsidP="003E7079">
      <w:pPr>
        <w:autoSpaceDE w:val="0"/>
        <w:autoSpaceDN w:val="0"/>
        <w:adjustRightInd w:val="0"/>
        <w:spacing w:after="0" w:line="240" w:lineRule="auto"/>
        <w:jc w:val="center"/>
        <w:rPr>
          <w:rFonts w:ascii="Calibri" w:eastAsia="Times New Roman" w:hAnsi="Calibri" w:cs="Times New Roman"/>
          <w:sz w:val="24"/>
          <w:szCs w:val="24"/>
          <w:lang w:eastAsia="bs-Latn-BA"/>
        </w:rPr>
      </w:pPr>
    </w:p>
    <w:tbl>
      <w:tblPr>
        <w:tblStyle w:val="TableGrid"/>
        <w:tblW w:w="9067" w:type="dxa"/>
        <w:tblLook w:val="04A0" w:firstRow="1" w:lastRow="0" w:firstColumn="1" w:lastColumn="0" w:noHBand="0" w:noVBand="1"/>
      </w:tblPr>
      <w:tblGrid>
        <w:gridCol w:w="675"/>
        <w:gridCol w:w="3715"/>
        <w:gridCol w:w="2693"/>
        <w:gridCol w:w="1984"/>
      </w:tblGrid>
      <w:tr w:rsidR="003E7079" w:rsidRPr="00D03ABA" w:rsidTr="00354179">
        <w:tc>
          <w:tcPr>
            <w:tcW w:w="675"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3E7079" w:rsidRPr="00D03ABA" w:rsidTr="00354179">
        <w:trPr>
          <w:trHeight w:val="406"/>
        </w:trPr>
        <w:tc>
          <w:tcPr>
            <w:tcW w:w="675"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p>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CPK BANJA LUKA</w:t>
            </w:r>
          </w:p>
        </w:tc>
        <w:tc>
          <w:tcPr>
            <w:tcW w:w="2693" w:type="dxa"/>
          </w:tcPr>
          <w:p w:rsidR="003E7079" w:rsidRDefault="003E7079" w:rsidP="00354179">
            <w:pPr>
              <w:autoSpaceDE w:val="0"/>
              <w:autoSpaceDN w:val="0"/>
              <w:adjustRightInd w:val="0"/>
              <w:jc w:val="center"/>
              <w:rPr>
                <w:rFonts w:ascii="Garamond" w:eastAsia="Times New Roman" w:hAnsi="Garamond" w:cs="Times New Roman"/>
                <w:sz w:val="24"/>
                <w:szCs w:val="24"/>
                <w:lang w:val="hr-HR" w:eastAsia="hr-HR"/>
              </w:rPr>
            </w:pPr>
          </w:p>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2.315,00</w:t>
            </w:r>
          </w:p>
        </w:tc>
        <w:tc>
          <w:tcPr>
            <w:tcW w:w="1984" w:type="dxa"/>
          </w:tcPr>
          <w:p w:rsidR="003E7079" w:rsidRPr="009B187A" w:rsidRDefault="003E7079" w:rsidP="00354179">
            <w:pPr>
              <w:autoSpaceDE w:val="0"/>
              <w:autoSpaceDN w:val="0"/>
              <w:adjustRightInd w:val="0"/>
              <w:jc w:val="center"/>
              <w:rPr>
                <w:rFonts w:ascii="Garamond" w:eastAsia="Times New Roman" w:hAnsi="Garamond" w:cs="Times New Roman"/>
                <w:sz w:val="24"/>
                <w:szCs w:val="24"/>
                <w:lang w:val="hr-HR" w:eastAsia="hr-HR"/>
              </w:rPr>
            </w:pPr>
          </w:p>
          <w:p w:rsidR="003E7079" w:rsidRPr="009B187A" w:rsidRDefault="003E7079" w:rsidP="00354179">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3E7079" w:rsidRPr="00D03ABA" w:rsidTr="00354179">
        <w:tc>
          <w:tcPr>
            <w:tcW w:w="675" w:type="dxa"/>
          </w:tcPr>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w:t>
            </w:r>
          </w:p>
        </w:tc>
        <w:tc>
          <w:tcPr>
            <w:tcW w:w="3715" w:type="dxa"/>
          </w:tcPr>
          <w:p w:rsidR="003E7079" w:rsidRDefault="003E7079" w:rsidP="00354179">
            <w:pPr>
              <w:autoSpaceDE w:val="0"/>
              <w:autoSpaceDN w:val="0"/>
              <w:adjustRightInd w:val="0"/>
              <w:jc w:val="center"/>
              <w:rPr>
                <w:rFonts w:ascii="Garamond" w:eastAsia="Times New Roman" w:hAnsi="Garamond" w:cs="Times New Roman"/>
                <w:sz w:val="24"/>
                <w:szCs w:val="24"/>
                <w:lang w:val="hr-HR" w:eastAsia="hr-HR"/>
              </w:rPr>
            </w:pPr>
          </w:p>
          <w:p w:rsidR="003E7079" w:rsidRPr="00D03AB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INSTITUT „GIT“ DOO TUZLA</w:t>
            </w:r>
          </w:p>
        </w:tc>
        <w:tc>
          <w:tcPr>
            <w:tcW w:w="2693" w:type="dxa"/>
          </w:tcPr>
          <w:p w:rsidR="003E7079"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4.785,00</w:t>
            </w:r>
          </w:p>
        </w:tc>
        <w:tc>
          <w:tcPr>
            <w:tcW w:w="1984" w:type="dxa"/>
          </w:tcPr>
          <w:p w:rsidR="003E7079" w:rsidRPr="009B187A" w:rsidRDefault="003E7079"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48</w:t>
            </w:r>
          </w:p>
        </w:tc>
      </w:tr>
    </w:tbl>
    <w:p w:rsidR="003E7079"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6A5064">
        <w:rPr>
          <w:rFonts w:ascii="Times New Roman" w:eastAsia="Times New Roman" w:hAnsi="Times New Roman" w:cs="Times New Roman"/>
          <w:sz w:val="24"/>
          <w:szCs w:val="24"/>
          <w:lang w:eastAsia="hr-HR"/>
        </w:rPr>
        <w:t xml:space="preserve">Iz navedenih razloga, primjenom člana 64. stav 1. Zakona o javnim nabavkama Bosne i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3E7079">
          <w:rPr>
            <w:noProof/>
          </w:rPr>
          <w:t>2</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82469"/>
    <w:rsid w:val="003D72BA"/>
    <w:rsid w:val="003E7079"/>
    <w:rsid w:val="004409DC"/>
    <w:rsid w:val="00456342"/>
    <w:rsid w:val="004610D2"/>
    <w:rsid w:val="0046563E"/>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D10EAA"/>
    <w:rsid w:val="00D51F27"/>
    <w:rsid w:val="00D70CB6"/>
    <w:rsid w:val="00D72FAE"/>
    <w:rsid w:val="00D83B4C"/>
    <w:rsid w:val="00DB7BA0"/>
    <w:rsid w:val="00DC605E"/>
    <w:rsid w:val="00DD795F"/>
    <w:rsid w:val="00DF303F"/>
    <w:rsid w:val="00E21543"/>
    <w:rsid w:val="00E361EE"/>
    <w:rsid w:val="00E55819"/>
    <w:rsid w:val="00E6100D"/>
    <w:rsid w:val="00E634CD"/>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BF91B-0AE1-4D96-B453-6E75EEF2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2022-03-16T13:40:00Z</dcterms:created>
  <dcterms:modified xsi:type="dcterms:W3CDTF">2022-03-16T13:40:00Z</dcterms:modified>
</cp:coreProperties>
</file>