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8367"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4A1F5D">
        <w:rPr>
          <w:rFonts w:ascii="Times New Roman" w:eastAsia="Times New Roman" w:hAnsi="Times New Roman" w:cs="Times New Roman"/>
          <w:sz w:val="24"/>
          <w:szCs w:val="24"/>
          <w:lang w:val="hr-HR" w:eastAsia="hr-HR"/>
        </w:rPr>
        <w:t>4</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4A1F5D">
        <w:rPr>
          <w:rFonts w:ascii="Times New Roman" w:hAnsi="Times New Roman" w:cs="Times New Roman"/>
          <w:b/>
          <w:bCs/>
          <w:color w:val="000000"/>
          <w:sz w:val="24"/>
          <w:szCs w:val="24"/>
        </w:rPr>
        <w:t>4</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4A1F5D">
        <w:rPr>
          <w:rFonts w:ascii="Times New Roman" w:eastAsia="Times New Roman" w:hAnsi="Times New Roman" w:cs="Times New Roman"/>
          <w:b/>
          <w:bCs/>
          <w:sz w:val="24"/>
          <w:szCs w:val="24"/>
          <w:lang w:val="hr-HR" w:eastAsia="zh-CN"/>
        </w:rPr>
        <w:t>4</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9529B6">
        <w:rPr>
          <w:rFonts w:ascii="Times New Roman" w:hAnsi="Times New Roman" w:cs="Times New Roman"/>
          <w:sz w:val="24"/>
          <w:szCs w:val="24"/>
        </w:rPr>
        <w:t>4</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   ponuđaču </w:t>
      </w:r>
      <w:r w:rsidR="009529B6" w:rsidRPr="009529B6">
        <w:rPr>
          <w:rFonts w:ascii="Times New Roman" w:eastAsia="TimesNewRoman" w:hAnsi="Times New Roman" w:cs="Times New Roman"/>
          <w:b/>
          <w:sz w:val="24"/>
          <w:szCs w:val="24"/>
          <w:lang w:eastAsia="bs-Latn-BA"/>
        </w:rPr>
        <w:t xml:space="preserve">DOO WIDE VISOKO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009529B6">
        <w:rPr>
          <w:rFonts w:ascii="Times New Roman" w:hAnsi="Times New Roman" w:cs="Times New Roman"/>
          <w:sz w:val="24"/>
          <w:szCs w:val="24"/>
        </w:rPr>
        <w:t>obradu</w:t>
      </w:r>
      <w:r w:rsidR="009529B6" w:rsidRPr="009529B6">
        <w:rPr>
          <w:rFonts w:ascii="Times New Roman" w:hAnsi="Times New Roman" w:cs="Times New Roman"/>
          <w:sz w:val="24"/>
          <w:szCs w:val="24"/>
        </w:rPr>
        <w:t xml:space="preserve"> podataka i izrad</w:t>
      </w:r>
      <w:r w:rsidR="009529B6">
        <w:rPr>
          <w:rFonts w:ascii="Times New Roman" w:hAnsi="Times New Roman" w:cs="Times New Roman"/>
          <w:sz w:val="24"/>
          <w:szCs w:val="24"/>
        </w:rPr>
        <w:t>u</w:t>
      </w:r>
      <w:r w:rsidR="009529B6" w:rsidRPr="009529B6">
        <w:rPr>
          <w:rFonts w:ascii="Times New Roman" w:hAnsi="Times New Roman" w:cs="Times New Roman"/>
          <w:sz w:val="24"/>
          <w:szCs w:val="24"/>
        </w:rPr>
        <w:t xml:space="preserve"> publikacije o brojanju saobraćaja za 2021. godinu</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w:t>
      </w:r>
      <w:r w:rsidR="009529B6" w:rsidRPr="009529B6">
        <w:rPr>
          <w:rFonts w:ascii="Times New Roman" w:eastAsia="TimesNewRoman" w:hAnsi="Times New Roman" w:cs="Times New Roman"/>
          <w:b/>
          <w:sz w:val="24"/>
          <w:szCs w:val="24"/>
        </w:rPr>
        <w:t>2.520,00</w:t>
      </w:r>
      <w:r w:rsidR="009529B6">
        <w:rPr>
          <w:rFonts w:ascii="Times New Roman" w:eastAsia="TimesNewRoman" w:hAnsi="Times New Roman" w:cs="Times New Roman"/>
          <w:b/>
          <w:sz w:val="24"/>
          <w:szCs w:val="24"/>
        </w:rPr>
        <w:t xml:space="preserve">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E90892" w:rsidRDefault="00E90892" w:rsidP="00E21543">
      <w:pPr>
        <w:jc w:val="center"/>
        <w:rPr>
          <w:rFonts w:ascii="Times New Roman" w:hAnsi="Times New Roman" w:cs="Times New Roman"/>
          <w:color w:val="000000"/>
          <w:sz w:val="24"/>
          <w:szCs w:val="24"/>
        </w:rPr>
      </w:pPr>
    </w:p>
    <w:p w:rsidR="00D72FAE" w:rsidRDefault="00D72FAE"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9529B6">
        <w:rPr>
          <w:rFonts w:ascii="Times New Roman" w:hAnsi="Times New Roman" w:cs="Times New Roman"/>
          <w:color w:val="000000"/>
          <w:sz w:val="24"/>
          <w:szCs w:val="24"/>
        </w:rPr>
        <w:t xml:space="preserve">4 </w:t>
      </w:r>
      <w:r w:rsidR="003E7079">
        <w:rPr>
          <w:rFonts w:ascii="Times New Roman" w:hAnsi="Times New Roman" w:cs="Times New Roman"/>
          <w:color w:val="000000"/>
          <w:sz w:val="24"/>
          <w:szCs w:val="24"/>
        </w:rPr>
        <w:t xml:space="preserve">iznosila je </w:t>
      </w:r>
      <w:r w:rsidR="009529B6">
        <w:rPr>
          <w:rFonts w:ascii="Times New Roman" w:hAnsi="Times New Roman" w:cs="Times New Roman"/>
          <w:color w:val="000000"/>
          <w:sz w:val="24"/>
          <w:szCs w:val="24"/>
        </w:rPr>
        <w:t>4.273</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E90892" w:rsidRPr="00E90892" w:rsidRDefault="00E90892" w:rsidP="00E90892">
      <w:pPr>
        <w:spacing w:before="120" w:after="120" w:line="240" w:lineRule="auto"/>
        <w:ind w:right="-143"/>
        <w:jc w:val="both"/>
        <w:rPr>
          <w:rFonts w:ascii="Times New Roman" w:hAnsi="Times New Roman" w:cs="Times New Roman"/>
          <w:color w:val="000000"/>
          <w:sz w:val="24"/>
          <w:szCs w:val="24"/>
        </w:rPr>
      </w:pPr>
      <w:r w:rsidRPr="00E90892">
        <w:rPr>
          <w:rFonts w:ascii="Times New Roman" w:hAnsi="Times New Roman" w:cs="Times New Roman"/>
          <w:sz w:val="24"/>
          <w:szCs w:val="24"/>
        </w:rPr>
        <w:t xml:space="preserve">LOT </w:t>
      </w:r>
      <w:r w:rsidR="009529B6">
        <w:rPr>
          <w:rFonts w:ascii="Times New Roman" w:hAnsi="Times New Roman" w:cs="Times New Roman"/>
          <w:sz w:val="24"/>
          <w:szCs w:val="24"/>
        </w:rPr>
        <w:t>4</w:t>
      </w:r>
      <w:r w:rsidRPr="00E90892">
        <w:rPr>
          <w:rFonts w:ascii="Times New Roman" w:hAnsi="Times New Roman" w:cs="Times New Roman"/>
          <w:sz w:val="24"/>
          <w:szCs w:val="24"/>
        </w:rPr>
        <w:t xml:space="preserve">- </w:t>
      </w:r>
      <w:r w:rsidR="009529B6">
        <w:rPr>
          <w:rFonts w:ascii="Times New Roman" w:hAnsi="Times New Roman" w:cs="Times New Roman"/>
          <w:sz w:val="24"/>
          <w:szCs w:val="24"/>
        </w:rPr>
        <w:t>O</w:t>
      </w:r>
      <w:r w:rsidR="009529B6" w:rsidRPr="009529B6">
        <w:rPr>
          <w:rFonts w:ascii="Times New Roman" w:hAnsi="Times New Roman" w:cs="Times New Roman"/>
          <w:sz w:val="24"/>
          <w:szCs w:val="24"/>
        </w:rPr>
        <w:t>brad</w:t>
      </w:r>
      <w:r w:rsidR="009529B6">
        <w:rPr>
          <w:rFonts w:ascii="Times New Roman" w:hAnsi="Times New Roman" w:cs="Times New Roman"/>
          <w:sz w:val="24"/>
          <w:szCs w:val="24"/>
        </w:rPr>
        <w:t>a</w:t>
      </w:r>
      <w:r w:rsidR="009529B6" w:rsidRPr="009529B6">
        <w:rPr>
          <w:rFonts w:ascii="Times New Roman" w:hAnsi="Times New Roman" w:cs="Times New Roman"/>
          <w:sz w:val="24"/>
          <w:szCs w:val="24"/>
        </w:rPr>
        <w:t xml:space="preserve"> podataka i izrad</w:t>
      </w:r>
      <w:r w:rsidR="009529B6">
        <w:rPr>
          <w:rFonts w:ascii="Times New Roman" w:hAnsi="Times New Roman" w:cs="Times New Roman"/>
          <w:sz w:val="24"/>
          <w:szCs w:val="24"/>
        </w:rPr>
        <w:t>a</w:t>
      </w:r>
      <w:r w:rsidR="009529B6" w:rsidRPr="009529B6">
        <w:rPr>
          <w:rFonts w:ascii="Times New Roman" w:hAnsi="Times New Roman" w:cs="Times New Roman"/>
          <w:sz w:val="24"/>
          <w:szCs w:val="24"/>
        </w:rPr>
        <w:t xml:space="preserve"> publikacije o brojanju saobraćaja za 2021. godinu</w:t>
      </w:r>
    </w:p>
    <w:p w:rsidR="00A7623F" w:rsidRPr="00FC73D7" w:rsidRDefault="00A7623F" w:rsidP="00FC73D7">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FC73D7">
        <w:rPr>
          <w:rFonts w:ascii="Times New Roman" w:hAnsi="Times New Roman" w:cs="Times New Roman"/>
          <w:color w:val="000000"/>
          <w:sz w:val="24"/>
          <w:szCs w:val="24"/>
        </w:rPr>
        <w:t xml:space="preserve">da je ukupan broj pristiglih ponuda </w:t>
      </w:r>
      <w:r w:rsidR="009529B6">
        <w:rPr>
          <w:rFonts w:ascii="Times New Roman" w:hAnsi="Times New Roman" w:cs="Times New Roman"/>
          <w:color w:val="000000"/>
          <w:sz w:val="24"/>
          <w:szCs w:val="24"/>
        </w:rPr>
        <w:t>5</w:t>
      </w:r>
      <w:r w:rsidRPr="00FC73D7">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9529B6">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9529B6">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9529B6">
        <w:rPr>
          <w:rFonts w:ascii="Times New Roman" w:hAnsi="Times New Roman" w:cs="Times New Roman"/>
          <w:color w:val="000000"/>
          <w:sz w:val="24"/>
          <w:szCs w:val="24"/>
        </w:rPr>
        <w:t>5</w:t>
      </w:r>
      <w:r w:rsidRPr="006A5064">
        <w:rPr>
          <w:rFonts w:ascii="Times New Roman" w:hAnsi="Times New Roman" w:cs="Times New Roman"/>
          <w:color w:val="000000"/>
          <w:sz w:val="24"/>
          <w:szCs w:val="24"/>
        </w:rPr>
        <w:t xml:space="preserve"> ponud</w:t>
      </w:r>
      <w:r w:rsidR="009529B6">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 xml:space="preserve">Ponude ponuđača </w:t>
      </w:r>
      <w:r w:rsidR="003537BD" w:rsidRPr="003537BD">
        <w:rPr>
          <w:rFonts w:ascii="Times New Roman" w:eastAsia="Times New Roman" w:hAnsi="Times New Roman" w:cs="Times New Roman"/>
          <w:sz w:val="24"/>
          <w:szCs w:val="24"/>
          <w:lang w:val="hr-HR" w:eastAsia="hr-HR"/>
        </w:rPr>
        <w:t xml:space="preserve">(DOO CPK BANJA LUKA, </w:t>
      </w:r>
      <w:r w:rsidR="003537BD">
        <w:rPr>
          <w:rFonts w:ascii="Times New Roman" w:eastAsia="Times New Roman" w:hAnsi="Times New Roman" w:cs="Times New Roman"/>
          <w:sz w:val="24"/>
          <w:szCs w:val="24"/>
          <w:lang w:val="hr-HR" w:eastAsia="hr-HR"/>
        </w:rPr>
        <w:t>DOO WIDE VISOKO</w:t>
      </w:r>
      <w:r w:rsidR="009529B6">
        <w:rPr>
          <w:rFonts w:ascii="Times New Roman" w:eastAsia="Times New Roman" w:hAnsi="Times New Roman" w:cs="Times New Roman"/>
          <w:sz w:val="24"/>
          <w:szCs w:val="24"/>
          <w:lang w:val="hr-HR" w:eastAsia="hr-HR"/>
        </w:rPr>
        <w:t xml:space="preserve">, </w:t>
      </w:r>
      <w:r w:rsidR="004A51AD" w:rsidRPr="004A51AD">
        <w:rPr>
          <w:rFonts w:ascii="Times New Roman" w:eastAsia="Times New Roman" w:hAnsi="Times New Roman" w:cs="Times New Roman"/>
          <w:sz w:val="24"/>
          <w:szCs w:val="24"/>
          <w:lang w:val="hr-HR" w:eastAsia="hr-HR"/>
        </w:rPr>
        <w:t>DOO INK CONSTRUCTOR BANJA LUKA</w:t>
      </w:r>
      <w:r w:rsidR="009529B6">
        <w:rPr>
          <w:rFonts w:ascii="Times New Roman" w:eastAsia="Times New Roman" w:hAnsi="Times New Roman" w:cs="Times New Roman"/>
          <w:sz w:val="24"/>
          <w:szCs w:val="24"/>
          <w:lang w:val="hr-HR" w:eastAsia="hr-HR"/>
        </w:rPr>
        <w:t xml:space="preserve"> i ARTING BH DOO SARAJEVO</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Ponuđač  DOO NTSI INSTITUT SARAJEVO u ponudi nije dostavio kopiju diplome za  diplomiranog inžinjera građevine, kao ni uvjerenje o položenom stručnom ispitu za dipl. inž građevine, niti dokaz o radnom stažu, kako je to traženo tenderskom dokumentacijom u dijelu zadovoljavanja tehničko-profesionalnih sposobnosti pod b).</w:t>
      </w: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Također u ponudi ponuđač DOO NTSI INSTITUT SARAJEVO nije dostavio Izjavu traženu u dijelu dokazivanja tehničke i profesionalne sposobnosti pod c)</w:t>
      </w:r>
      <w:r w:rsidRPr="009F7970">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Zbog nedostavljanja traženog dokaza u dijelu tehničko-profesonalne sposobnosti pod b) i c) ponuda ponuđača DOO NTSI INSTITUT SARAJEVO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DB7BA0" w:rsidRDefault="00DB7BA0" w:rsidP="00231C1A">
      <w:pPr>
        <w:spacing w:after="0" w:line="240" w:lineRule="auto"/>
        <w:jc w:val="both"/>
        <w:rPr>
          <w:rFonts w:ascii="Times New Roman" w:eastAsia="Times New Roman" w:hAnsi="Times New Roman" w:cs="Times New Roman"/>
          <w:bCs/>
          <w:sz w:val="24"/>
          <w:szCs w:val="24"/>
          <w:lang w:val="hr-HR" w:eastAsia="hr-HR"/>
        </w:rPr>
      </w:pPr>
    </w:p>
    <w:p w:rsidR="003537BD" w:rsidRDefault="003537BD" w:rsidP="00231C1A">
      <w:pPr>
        <w:spacing w:after="0" w:line="240" w:lineRule="auto"/>
        <w:jc w:val="both"/>
        <w:rPr>
          <w:rFonts w:ascii="Times New Roman" w:eastAsia="Times New Roman" w:hAnsi="Times New Roman" w:cs="Times New Roman"/>
          <w:bCs/>
          <w:sz w:val="24"/>
          <w:szCs w:val="24"/>
          <w:lang w:val="hr-HR" w:eastAsia="hr-HR"/>
        </w:rPr>
      </w:pP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9529B6" w:rsidRPr="009529B6" w:rsidRDefault="009529B6" w:rsidP="009529B6">
      <w:pPr>
        <w:autoSpaceDE w:val="0"/>
        <w:autoSpaceDN w:val="0"/>
        <w:adjustRightInd w:val="0"/>
        <w:spacing w:after="0" w:line="240" w:lineRule="auto"/>
        <w:jc w:val="center"/>
        <w:rPr>
          <w:rFonts w:ascii="Times New Roman" w:eastAsia="TimesNewRoman" w:hAnsi="Times New Roman" w:cs="Times New Roman"/>
          <w:sz w:val="24"/>
          <w:szCs w:val="24"/>
        </w:rPr>
      </w:pPr>
      <w:r w:rsidRPr="009529B6">
        <w:rPr>
          <w:rFonts w:ascii="Times New Roman" w:eastAsia="TimesNewRoman" w:hAnsi="Times New Roman" w:cs="Times New Roman"/>
          <w:sz w:val="24"/>
          <w:szCs w:val="24"/>
        </w:rPr>
        <w:t>LOT 4- Obrade podataka i izrada publikacije o brojanju saobraćaja za 2021. godinu</w:t>
      </w:r>
    </w:p>
    <w:p w:rsidR="009529B6" w:rsidRPr="009529B6" w:rsidRDefault="009529B6" w:rsidP="009529B6">
      <w:pPr>
        <w:autoSpaceDE w:val="0"/>
        <w:autoSpaceDN w:val="0"/>
        <w:adjustRightInd w:val="0"/>
        <w:spacing w:after="0" w:line="240" w:lineRule="auto"/>
        <w:jc w:val="center"/>
        <w:rPr>
          <w:rFonts w:ascii="Times New Roman" w:eastAsia="Times New Roman" w:hAnsi="Times New Roman" w:cs="Times New Roman"/>
          <w:sz w:val="24"/>
          <w:szCs w:val="24"/>
          <w:lang w:val="en-GB" w:eastAsia="hr-HR"/>
        </w:rPr>
      </w:pPr>
    </w:p>
    <w:tbl>
      <w:tblPr>
        <w:tblStyle w:val="TableGrid"/>
        <w:tblW w:w="9067" w:type="dxa"/>
        <w:tblLook w:val="04A0" w:firstRow="1" w:lastRow="0" w:firstColumn="1" w:lastColumn="0" w:noHBand="0" w:noVBand="1"/>
      </w:tblPr>
      <w:tblGrid>
        <w:gridCol w:w="696"/>
        <w:gridCol w:w="3707"/>
        <w:gridCol w:w="2685"/>
        <w:gridCol w:w="1979"/>
      </w:tblGrid>
      <w:tr w:rsidR="009529B6" w:rsidRPr="009529B6" w:rsidTr="00354179">
        <w:tc>
          <w:tcPr>
            <w:tcW w:w="67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R.br.</w:t>
            </w:r>
          </w:p>
        </w:tc>
        <w:tc>
          <w:tcPr>
            <w:tcW w:w="371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Naziv ponuđača</w:t>
            </w:r>
          </w:p>
        </w:tc>
        <w:tc>
          <w:tcPr>
            <w:tcW w:w="2693"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Cijena bez PDV-a</w:t>
            </w:r>
          </w:p>
        </w:tc>
        <w:tc>
          <w:tcPr>
            <w:tcW w:w="1984"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Broj bodova</w:t>
            </w:r>
          </w:p>
        </w:tc>
      </w:tr>
      <w:tr w:rsidR="009529B6" w:rsidRPr="009529B6" w:rsidTr="00354179">
        <w:trPr>
          <w:trHeight w:val="406"/>
        </w:trPr>
        <w:tc>
          <w:tcPr>
            <w:tcW w:w="67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p>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1.</w:t>
            </w:r>
          </w:p>
        </w:tc>
        <w:tc>
          <w:tcPr>
            <w:tcW w:w="371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DOO WIDE VISOKO</w:t>
            </w:r>
          </w:p>
        </w:tc>
        <w:tc>
          <w:tcPr>
            <w:tcW w:w="2693"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p>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2.520,00</w:t>
            </w:r>
          </w:p>
        </w:tc>
        <w:tc>
          <w:tcPr>
            <w:tcW w:w="1984"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p>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100</w:t>
            </w:r>
          </w:p>
        </w:tc>
      </w:tr>
      <w:tr w:rsidR="009529B6" w:rsidRPr="009529B6" w:rsidTr="00354179">
        <w:tc>
          <w:tcPr>
            <w:tcW w:w="67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2.</w:t>
            </w:r>
          </w:p>
        </w:tc>
        <w:tc>
          <w:tcPr>
            <w:tcW w:w="371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p>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DOO ARTING BH SARAJEVO</w:t>
            </w:r>
          </w:p>
        </w:tc>
        <w:tc>
          <w:tcPr>
            <w:tcW w:w="2693"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2.700,00</w:t>
            </w:r>
          </w:p>
        </w:tc>
        <w:tc>
          <w:tcPr>
            <w:tcW w:w="1984"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93</w:t>
            </w:r>
          </w:p>
        </w:tc>
      </w:tr>
      <w:tr w:rsidR="009529B6" w:rsidRPr="009529B6" w:rsidTr="00354179">
        <w:tc>
          <w:tcPr>
            <w:tcW w:w="67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3.</w:t>
            </w:r>
          </w:p>
        </w:tc>
        <w:tc>
          <w:tcPr>
            <w:tcW w:w="371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DOO CPK BANJA LUKA</w:t>
            </w:r>
          </w:p>
        </w:tc>
        <w:tc>
          <w:tcPr>
            <w:tcW w:w="2693"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3.290,00</w:t>
            </w:r>
          </w:p>
        </w:tc>
        <w:tc>
          <w:tcPr>
            <w:tcW w:w="1984"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76</w:t>
            </w:r>
          </w:p>
        </w:tc>
      </w:tr>
      <w:tr w:rsidR="009529B6" w:rsidRPr="009529B6" w:rsidTr="00354179">
        <w:tc>
          <w:tcPr>
            <w:tcW w:w="67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4.</w:t>
            </w:r>
          </w:p>
        </w:tc>
        <w:tc>
          <w:tcPr>
            <w:tcW w:w="3715"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DOO INK CONSTRUCTOR BANJA LUKA</w:t>
            </w:r>
          </w:p>
        </w:tc>
        <w:tc>
          <w:tcPr>
            <w:tcW w:w="2693"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4.000,00</w:t>
            </w:r>
          </w:p>
        </w:tc>
        <w:tc>
          <w:tcPr>
            <w:tcW w:w="1984" w:type="dxa"/>
          </w:tcPr>
          <w:p w:rsidR="009529B6" w:rsidRPr="009529B6" w:rsidRDefault="009529B6" w:rsidP="00354179">
            <w:pPr>
              <w:autoSpaceDE w:val="0"/>
              <w:autoSpaceDN w:val="0"/>
              <w:adjustRightInd w:val="0"/>
              <w:jc w:val="center"/>
              <w:rPr>
                <w:rFonts w:ascii="Times New Roman" w:eastAsia="Times New Roman" w:hAnsi="Times New Roman" w:cs="Times New Roman"/>
                <w:sz w:val="24"/>
                <w:szCs w:val="24"/>
                <w:lang w:val="hr-HR" w:eastAsia="hr-HR"/>
              </w:rPr>
            </w:pPr>
            <w:r w:rsidRPr="009529B6">
              <w:rPr>
                <w:rFonts w:ascii="Times New Roman" w:eastAsia="Times New Roman" w:hAnsi="Times New Roman" w:cs="Times New Roman"/>
                <w:sz w:val="24"/>
                <w:szCs w:val="24"/>
                <w:lang w:val="hr-HR" w:eastAsia="hr-HR"/>
              </w:rPr>
              <w:t>63</w:t>
            </w:r>
          </w:p>
        </w:tc>
      </w:tr>
    </w:tbl>
    <w:p w:rsidR="003537BD" w:rsidRPr="009529B6"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E7079" w:rsidRPr="003537BD"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3537BD">
        <w:rPr>
          <w:rFonts w:ascii="Times New Roman" w:eastAsia="Times New Roman" w:hAnsi="Times New Roman" w:cs="Times New Roman"/>
          <w:sz w:val="24"/>
          <w:szCs w:val="24"/>
          <w:lang w:eastAsia="hr-HR"/>
        </w:rPr>
        <w:t>Iz navedenih razloga, primjenom člana 64. stav 1. Zakona o javnim nabavkama Bosne i</w:t>
      </w:r>
      <w:r w:rsidRPr="006A5064">
        <w:rPr>
          <w:rFonts w:ascii="Times New Roman" w:eastAsia="Times New Roman" w:hAnsi="Times New Roman" w:cs="Times New Roman"/>
          <w:sz w:val="24"/>
          <w:szCs w:val="24"/>
          <w:lang w:eastAsia="hr-HR"/>
        </w:rPr>
        <w:t xml:space="preserve">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bookmarkStart w:id="1" w:name="_GoBack"/>
      <w:bookmarkEnd w:id="1"/>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9529B6">
          <w:rPr>
            <w:noProof/>
          </w:rPr>
          <w:t>1</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537BD"/>
    <w:rsid w:val="00382469"/>
    <w:rsid w:val="003D72BA"/>
    <w:rsid w:val="003E7079"/>
    <w:rsid w:val="004409DC"/>
    <w:rsid w:val="00456342"/>
    <w:rsid w:val="004610D2"/>
    <w:rsid w:val="0046563E"/>
    <w:rsid w:val="004806BB"/>
    <w:rsid w:val="00485B4D"/>
    <w:rsid w:val="004874A7"/>
    <w:rsid w:val="004A1F5D"/>
    <w:rsid w:val="004A51AD"/>
    <w:rsid w:val="004D61F2"/>
    <w:rsid w:val="004E45E8"/>
    <w:rsid w:val="00500E9C"/>
    <w:rsid w:val="005674AD"/>
    <w:rsid w:val="005B1003"/>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529B6"/>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CF3C73"/>
    <w:rsid w:val="00D10EAA"/>
    <w:rsid w:val="00D51F27"/>
    <w:rsid w:val="00D70CB6"/>
    <w:rsid w:val="00D72FAE"/>
    <w:rsid w:val="00D83B4C"/>
    <w:rsid w:val="00DB7BA0"/>
    <w:rsid w:val="00DC605E"/>
    <w:rsid w:val="00DD795F"/>
    <w:rsid w:val="00DF303F"/>
    <w:rsid w:val="00E21543"/>
    <w:rsid w:val="00E361EE"/>
    <w:rsid w:val="00E55819"/>
    <w:rsid w:val="00E6100D"/>
    <w:rsid w:val="00E634CD"/>
    <w:rsid w:val="00E90892"/>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B4A0-D292-4F5F-B64B-4B42BB42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2022-03-16T14:06:00Z</dcterms:created>
  <dcterms:modified xsi:type="dcterms:W3CDTF">2022-03-16T14:06:00Z</dcterms:modified>
</cp:coreProperties>
</file>