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99474886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2464AD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F82CDD" w:rsidRPr="00F82CDD" w:rsidRDefault="00F82CDD" w:rsidP="00F82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05-04-337-1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/24</w:t>
      </w:r>
    </w:p>
    <w:p w:rsidR="00AA5A6F" w:rsidRDefault="00F82CDD" w:rsidP="00F82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</w:t>
      </w: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.01.2025.</w:t>
      </w:r>
    </w:p>
    <w:p w:rsidR="00F82CDD" w:rsidRPr="007C2C0E" w:rsidRDefault="00F82CDD" w:rsidP="00F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BC580E" w:rsidRDefault="00D24BA7" w:rsidP="00BC5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337</w:t>
      </w:r>
      <w:r w:rsidR="006D4CEA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6D4CEA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4CE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godine, u postupku javne </w:t>
      </w:r>
      <w:r w:rsidR="00BF33D2" w:rsidRPr="00675551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F82CDD" w:rsidRPr="00F82CDD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0+000 do st.km. 0+550 u dužini od 550 m</w:t>
      </w:r>
      <w:r w:rsidR="00904760">
        <w:rPr>
          <w:rFonts w:ascii="Times New Roman" w:hAnsi="Times New Roman" w:cs="Times New Roman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824D19" w:rsidRDefault="00D24BA7" w:rsidP="00824D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broj: </w:t>
      </w:r>
      <w:r w:rsidR="000340F2" w:rsidRP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337</w:t>
      </w:r>
      <w:r w:rsidR="006D4CEA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6D4CEA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BF3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BE59A8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D4CEA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nabavku </w:t>
      </w:r>
      <w:r w:rsidR="00F82CDD" w:rsidRPr="00F82CDD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0+000 do st.km. 0+550 u dužini od 550 m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dodjeljuje se ponuđaču </w:t>
      </w:r>
      <w:r w:rsidR="00AA5A6F" w:rsidRPr="00AA5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d.o.o. Rial – šped D. Istok </w:t>
      </w:r>
      <w:r w:rsidR="004D51F7" w:rsidRP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najnižu ponuđenu ci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jenu od </w:t>
      </w:r>
      <w:r w:rsidR="00F82C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462.081,68</w:t>
      </w:r>
      <w:r w:rsidR="00AA5A6F" w:rsidRPr="00AA5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D37054" w:rsidRDefault="00D24BA7" w:rsidP="00D24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AA5A6F" w:rsidRPr="00AA5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d.o.o. Rial – šped D. Istok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po proteku roka od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0340F2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Obrazloženje</w:t>
      </w: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337/</w:t>
      </w:r>
      <w:r w:rsidR="006D4CE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F82CDD" w:rsidRPr="00F82CDD">
        <w:rPr>
          <w:rFonts w:ascii="Times New Roman" w:hAnsi="Times New Roman" w:cs="Times New Roman"/>
          <w:color w:val="000000"/>
          <w:sz w:val="24"/>
          <w:szCs w:val="24"/>
        </w:rPr>
        <w:t>25.12.2024.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F82CDD" w:rsidRPr="00F82CDD">
        <w:rPr>
          <w:rFonts w:ascii="Times New Roman" w:hAnsi="Times New Roman" w:cs="Times New Roman"/>
          <w:color w:val="000000"/>
          <w:sz w:val="24"/>
          <w:szCs w:val="24"/>
        </w:rPr>
        <w:t xml:space="preserve">462.375,60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904760" w:rsidRPr="009A2C15" w:rsidRDefault="0090476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CDD" w:rsidRDefault="009A2C15" w:rsidP="00F82C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997-1-3-84-3-107/24 objavljeno 25.12.2024. godine, Službeni glasnik BiH broj: 90/24</w:t>
      </w:r>
      <w:r w:rsid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9A2C15" w:rsidRDefault="009A2C15" w:rsidP="00F82C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ovana je Rješenjem broj: 05-04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337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F82CDD" w:rsidRPr="00F82CDD">
        <w:rPr>
          <w:rFonts w:ascii="Times New Roman" w:hAnsi="Times New Roman" w:cs="Times New Roman"/>
          <w:color w:val="000000"/>
          <w:sz w:val="24"/>
          <w:szCs w:val="24"/>
        </w:rPr>
        <w:t>10.01.2025. godine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Komisija za javnu nabavku dostavila je d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337</w:t>
      </w:r>
      <w:r w:rsidR="00B37B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sa rezultatima kvalifikacije i preporukom za održavanje e-aukcije.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B72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337</w:t>
      </w:r>
      <w:r w:rsidR="00B37B72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/24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 w:rsidR="00BE59A8" w:rsidRDefault="00BE59A8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BC58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="00AA5A6F" w:rsidRPr="00AA5A6F">
        <w:rPr>
          <w:rFonts w:ascii="Times New Roman" w:hAnsi="Times New Roman" w:cs="Times New Roman"/>
          <w:color w:val="000000"/>
          <w:sz w:val="24"/>
          <w:szCs w:val="24"/>
        </w:rPr>
        <w:t>d.o.o. Rial – šped D. Istok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, kao prvorangirana 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F82CDD" w:rsidRPr="00F82CDD">
        <w:rPr>
          <w:rFonts w:ascii="Times New Roman" w:hAnsi="Times New Roman" w:cs="Times New Roman"/>
          <w:sz w:val="24"/>
          <w:szCs w:val="24"/>
        </w:rPr>
        <w:t xml:space="preserve">462.081,68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F82CDD" w:rsidRPr="00F82CDD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0+000 do st.km. 0+550 u dužini od 550 m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7;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F3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7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ponud</w:t>
      </w:r>
      <w:r w:rsidR="00AA5A6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340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82CDD" w:rsidRDefault="00F82CDD" w:rsidP="00F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Ponude ponuđača d.o.o. Rial – šped D. Istok, d.o.o. Jata Group Srebrenik i  d.o.o. Roading Gračanica zadovoljavaju kvalifikcione uslove postavljene tenderskom dokumentacijom za predmetnu javnu nabavku. </w:t>
      </w:r>
    </w:p>
    <w:p w:rsidR="00F82CDD" w:rsidRPr="00F82CDD" w:rsidRDefault="00F82CDD" w:rsidP="00F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Ponude ponuđača d.o.o. Se-Sarajka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Živinice, d.o.o. Holex Živinice </w:t>
      </w:r>
      <w:r w:rsidRPr="00F82CDD">
        <w:rPr>
          <w:rFonts w:ascii="Times New Roman" w:eastAsia="Calibri" w:hAnsi="Times New Roman" w:cs="Times New Roman"/>
          <w:sz w:val="24"/>
          <w:szCs w:val="24"/>
        </w:rPr>
        <w:t>i d.o.o. Cestotehnik Tuzla prelaze planirana, odnosno osigurana novčana sredstva ugovornog organa za predmetnu nabavku, te se njihove ponude, u skladu sa čl</w:t>
      </w:r>
      <w:r>
        <w:rPr>
          <w:rFonts w:ascii="Times New Roman" w:eastAsia="Calibri" w:hAnsi="Times New Roman" w:cs="Times New Roman"/>
          <w:sz w:val="24"/>
          <w:szCs w:val="24"/>
        </w:rPr>
        <w:t>anom 2. Zakona o javnim nabavkama odbijene</w:t>
      </w: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 kao neprihvatljive.</w:t>
      </w:r>
    </w:p>
    <w:p w:rsidR="00F82CDD" w:rsidRPr="00F82CDD" w:rsidRDefault="00F82CDD" w:rsidP="00F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Ponuda ponuđača Konzorcij Joja transporti doo Živinice i Galax niskogradnja dd Brčko 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F82CDD">
        <w:rPr>
          <w:rFonts w:ascii="Times New Roman" w:eastAsia="Calibri" w:hAnsi="Times New Roman" w:cs="Times New Roman"/>
          <w:sz w:val="24"/>
          <w:szCs w:val="24"/>
        </w:rPr>
        <w:t>e odbij</w:t>
      </w:r>
      <w:r>
        <w:rPr>
          <w:rFonts w:ascii="Times New Roman" w:eastAsia="Calibri" w:hAnsi="Times New Roman" w:cs="Times New Roman"/>
          <w:sz w:val="24"/>
          <w:szCs w:val="24"/>
        </w:rPr>
        <w:t>ena</w:t>
      </w: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 kao neprihvatljiva jer n</w:t>
      </w:r>
      <w:r>
        <w:rPr>
          <w:rFonts w:ascii="Times New Roman" w:eastAsia="Calibri" w:hAnsi="Times New Roman" w:cs="Times New Roman"/>
          <w:sz w:val="24"/>
          <w:szCs w:val="24"/>
        </w:rPr>
        <w:t>ij</w:t>
      </w:r>
      <w:r w:rsidRPr="00F82CDD">
        <w:rPr>
          <w:rFonts w:ascii="Times New Roman" w:eastAsia="Calibri" w:hAnsi="Times New Roman" w:cs="Times New Roman"/>
          <w:sz w:val="24"/>
          <w:szCs w:val="24"/>
        </w:rPr>
        <w:t>e sadrž</w:t>
      </w:r>
      <w:r>
        <w:rPr>
          <w:rFonts w:ascii="Times New Roman" w:eastAsia="Calibri" w:hAnsi="Times New Roman" w:cs="Times New Roman"/>
          <w:sz w:val="24"/>
          <w:szCs w:val="24"/>
        </w:rPr>
        <w:t>avala</w:t>
      </w: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 tražene dokaze kvalifikovanosti u pogledu tehničko profesionalne sposobnosti.</w:t>
      </w:r>
    </w:p>
    <w:p w:rsidR="00F82CDD" w:rsidRPr="00F82CDD" w:rsidRDefault="00F82CDD" w:rsidP="00F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Naime, tenderskom dokumentacijom u okviru traženih dokaza tehničko profesionalne sposobnosti postavljen je uslov pod </w:t>
      </w:r>
      <w:r w:rsidRPr="00F82CDD">
        <w:rPr>
          <w:rFonts w:ascii="Times New Roman" w:eastAsia="Calibri" w:hAnsi="Times New Roman" w:cs="Times New Roman"/>
          <w:i/>
          <w:sz w:val="24"/>
          <w:szCs w:val="24"/>
        </w:rPr>
        <w:t>b)</w:t>
      </w:r>
      <w:r w:rsidRPr="00F82CDD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Posjedovanje asfaltne baze se dokazuje  relevantnim dokumentom koji </w:t>
      </w:r>
      <w:r w:rsidRPr="00F82CD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dokazuje vlasništvo nad postrojenjem za proizvodnju asfalta, kao što je upotrebna dozvola iz koje se nedvojbeno može utvrditi vlasništvo / Posjedovanje ugovora o isporuci asfaltne mase u  svrhu izvršenja ugovora se dokazuje njegovim prilaganjem (kopija). Za asfaltnu bazu je, pored gore navedenog, potrebno dostaviti izjavu o udaljenosti asfaltne baze koja se koristi u svrhu izvršenja ugovora od mjesta izvođenja radova. Iznimno, ukoliko je asfaltna baza udaljena na udaljenosti od 70km do 100 km od mjesta izvođenja radova, potrebno je dostaviti i dokaz o posjedovanju ili unajmljivanju vozila za prevoz asfalta sa termokesonom.</w:t>
      </w:r>
    </w:p>
    <w:p w:rsidR="00F82CDD" w:rsidRPr="00F82CDD" w:rsidRDefault="00F82CDD" w:rsidP="00F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CDD">
        <w:rPr>
          <w:rFonts w:ascii="Times New Roman" w:eastAsia="Calibri" w:hAnsi="Times New Roman" w:cs="Times New Roman"/>
          <w:sz w:val="24"/>
          <w:szCs w:val="24"/>
        </w:rPr>
        <w:t>Ponuđač Konzorcij Joja transporti doo Živinice i Galax niskogradnja dd Brčko u ponudi su dostavili upotrebnu dozvolu za mobilnu asfaltnu bazu od pravnog subjekta ZEP- ING doo Tuzla. Dostavljena upotrebna dozvola je dokaz iz oblasti zaštite na radu, a ne upotrebna dozvola za asfaltnu bazu za rad baze od nadležne institucije, te se ista ne može prihvatiti.</w:t>
      </w:r>
    </w:p>
    <w:p w:rsidR="002078B9" w:rsidRPr="00F82CDD" w:rsidRDefault="00F82CDD" w:rsidP="00F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U sklopu iste ponude, drugi član konzorcija je dostavio Rješenje o upotrebnoj dozvoli za asfaltnu bazu izdato od nadležne institucije, ali ta baza je udaljena više od 70 km od mjesta izvođenja radova, te ne ispunjava kriterije i standarde iz Smjernica o građenju (dozvoljena udaljenost mjesta izvođenja radova po Smjernicama za građenje iznosi 70 km, dok je asfaltna baza od početka mjesta izvođenja radova udaljena 70,30 km). Udaljenost asfaltne baze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F82CDD">
        <w:rPr>
          <w:rFonts w:ascii="Times New Roman" w:eastAsia="Calibri" w:hAnsi="Times New Roman" w:cs="Times New Roman"/>
          <w:sz w:val="24"/>
          <w:szCs w:val="24"/>
        </w:rPr>
        <w:t>provjerena putem aplikacije google maps od adrese asfaltne baze do mjesta početka izvođenja radova, te se kao takva n</w:t>
      </w:r>
      <w:r>
        <w:rPr>
          <w:rFonts w:ascii="Times New Roman" w:eastAsia="Calibri" w:hAnsi="Times New Roman" w:cs="Times New Roman"/>
          <w:sz w:val="24"/>
          <w:szCs w:val="24"/>
        </w:rPr>
        <w:t>ije</w:t>
      </w: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 mo</w:t>
      </w:r>
      <w:r>
        <w:rPr>
          <w:rFonts w:ascii="Times New Roman" w:eastAsia="Calibri" w:hAnsi="Times New Roman" w:cs="Times New Roman"/>
          <w:sz w:val="24"/>
          <w:szCs w:val="24"/>
        </w:rPr>
        <w:t>gla</w:t>
      </w:r>
      <w:r w:rsidRPr="00F82CDD">
        <w:rPr>
          <w:rFonts w:ascii="Times New Roman" w:eastAsia="Calibri" w:hAnsi="Times New Roman" w:cs="Times New Roman"/>
          <w:sz w:val="24"/>
          <w:szCs w:val="24"/>
        </w:rPr>
        <w:t xml:space="preserve"> prihvatiti.</w:t>
      </w:r>
    </w:p>
    <w:p w:rsidR="000340F2" w:rsidRPr="00F82CDD" w:rsidRDefault="000340F2" w:rsidP="00A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postupku donošenja ove odluke, posebno su cijenjene činjenice da je Komisija, pravilno i potpuno, </w:t>
      </w:r>
      <w:bookmarkStart w:id="1" w:name="_GoBack"/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izvršila ocjenu kvalificiranosti ponuđača te ocjenu prispjelih ponuda, u skladu sa kriterijima iz </w:t>
      </w:r>
      <w:bookmarkEnd w:id="1"/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114"/>
        <w:gridCol w:w="2266"/>
        <w:gridCol w:w="2266"/>
      </w:tblGrid>
      <w:tr w:rsidR="00F82CDD" w:rsidTr="00413B83">
        <w:tc>
          <w:tcPr>
            <w:tcW w:w="1416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3114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Naziv ponuđača</w:t>
            </w:r>
          </w:p>
        </w:tc>
        <w:tc>
          <w:tcPr>
            <w:tcW w:w="2266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Cijena ponude (KM bez PDV-a)</w:t>
            </w:r>
          </w:p>
        </w:tc>
        <w:tc>
          <w:tcPr>
            <w:tcW w:w="2266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Ukupan broj bodova</w:t>
            </w:r>
          </w:p>
        </w:tc>
      </w:tr>
      <w:tr w:rsidR="00F82CDD" w:rsidTr="00413B83">
        <w:tc>
          <w:tcPr>
            <w:tcW w:w="141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114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 w:rsidRPr="001219F7"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Rial – šped D. Istok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462.081,68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100</w:t>
            </w:r>
          </w:p>
        </w:tc>
      </w:tr>
      <w:tr w:rsidR="00F82CDD" w:rsidTr="00413B83">
        <w:tc>
          <w:tcPr>
            <w:tcW w:w="141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114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Jata Group Srebrenik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462.341,40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99,94</w:t>
            </w:r>
          </w:p>
        </w:tc>
      </w:tr>
      <w:tr w:rsidR="00F82CDD" w:rsidTr="00413B83">
        <w:tc>
          <w:tcPr>
            <w:tcW w:w="141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114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 w:rsidRPr="001219F7"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Roading Gračanica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462.375,00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99,93</w:t>
            </w:r>
          </w:p>
        </w:tc>
      </w:tr>
    </w:tbl>
    <w:p w:rsidR="00AA5A6F" w:rsidRDefault="00AA5A6F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457A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5A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provedene e – aukcije Agencija za javne nabavke formirala je i u „Izvještaju o toku i završetku e-</w:t>
      </w:r>
      <w:r w:rsidR="00BE457A" w:rsidRPr="00BE457A">
        <w:t xml:space="preserve"> </w:t>
      </w:r>
      <w:r w:rsidR="00BE457A" w:rsidRPr="00BE4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aukcije“ dostavila konačnu rang listu ponuđača koji su učestvovali na e-aukciji,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114"/>
        <w:gridCol w:w="2266"/>
        <w:gridCol w:w="2266"/>
      </w:tblGrid>
      <w:tr w:rsidR="00F82CDD" w:rsidTr="00413B83">
        <w:tc>
          <w:tcPr>
            <w:tcW w:w="1416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3114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Naziv ponuđača</w:t>
            </w:r>
          </w:p>
        </w:tc>
        <w:tc>
          <w:tcPr>
            <w:tcW w:w="2266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Cijena ponude (KM bez PDV-a)</w:t>
            </w:r>
          </w:p>
        </w:tc>
        <w:tc>
          <w:tcPr>
            <w:tcW w:w="2266" w:type="dxa"/>
          </w:tcPr>
          <w:p w:rsidR="00F82CDD" w:rsidRPr="00993ECA" w:rsidRDefault="00F82CDD" w:rsidP="00413B83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Ukupan broj bodova</w:t>
            </w:r>
          </w:p>
        </w:tc>
      </w:tr>
      <w:tr w:rsidR="00F82CDD" w:rsidTr="00413B83">
        <w:tc>
          <w:tcPr>
            <w:tcW w:w="141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114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 w:rsidRPr="001219F7"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Rial – šped D. Istok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462.081,68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100</w:t>
            </w:r>
          </w:p>
        </w:tc>
      </w:tr>
      <w:tr w:rsidR="00F82CDD" w:rsidTr="00413B83">
        <w:tc>
          <w:tcPr>
            <w:tcW w:w="141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114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Jata Group Srebrenik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462.341,40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99,94</w:t>
            </w:r>
          </w:p>
        </w:tc>
      </w:tr>
      <w:tr w:rsidR="00F82CDD" w:rsidTr="00413B83">
        <w:tc>
          <w:tcPr>
            <w:tcW w:w="141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114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 w:rsidRPr="001219F7"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Roading Gračanica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462.375,00</w:t>
            </w:r>
          </w:p>
        </w:tc>
        <w:tc>
          <w:tcPr>
            <w:tcW w:w="2266" w:type="dxa"/>
          </w:tcPr>
          <w:p w:rsidR="00F82CDD" w:rsidRDefault="00F82CDD" w:rsidP="00413B83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99,93</w:t>
            </w:r>
          </w:p>
        </w:tc>
      </w:tr>
    </w:tbl>
    <w:p w:rsidR="00F82CDD" w:rsidRDefault="00F82CD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82CDD" w:rsidRDefault="00F82CD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82CDD" w:rsidRDefault="00F82CD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najkasnije u roku od 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et) dana od dana prijema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</w:t>
      </w:r>
      <w:r w:rsid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izboru najpovoljnijeg ponuđača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eastAsia="zh-CN"/>
        </w:rPr>
        <w:t>Zijad Omerčić, dipl. 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A600C8" w:rsidRDefault="005342FD" w:rsidP="00A600C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A600C8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7" w:rsidRDefault="003F6D07">
      <w:pPr>
        <w:spacing w:after="0" w:line="240" w:lineRule="auto"/>
      </w:pPr>
      <w:r>
        <w:separator/>
      </w:r>
    </w:p>
  </w:endnote>
  <w:endnote w:type="continuationSeparator" w:id="0">
    <w:p w:rsidR="003F6D07" w:rsidRDefault="003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2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31A4" w:rsidRDefault="00801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7" w:rsidRDefault="003F6D07">
      <w:pPr>
        <w:spacing w:after="0" w:line="240" w:lineRule="auto"/>
      </w:pPr>
      <w:r>
        <w:separator/>
      </w:r>
    </w:p>
  </w:footnote>
  <w:footnote w:type="continuationSeparator" w:id="0">
    <w:p w:rsidR="003F6D07" w:rsidRDefault="003F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340F2"/>
    <w:rsid w:val="00076391"/>
    <w:rsid w:val="000857CA"/>
    <w:rsid w:val="00086DE1"/>
    <w:rsid w:val="000B5167"/>
    <w:rsid w:val="000B5B31"/>
    <w:rsid w:val="000D2D9E"/>
    <w:rsid w:val="000E22BF"/>
    <w:rsid w:val="000F735B"/>
    <w:rsid w:val="00100C2C"/>
    <w:rsid w:val="00104EB6"/>
    <w:rsid w:val="00110C67"/>
    <w:rsid w:val="00137A99"/>
    <w:rsid w:val="001503D6"/>
    <w:rsid w:val="00173A9B"/>
    <w:rsid w:val="0017484D"/>
    <w:rsid w:val="00177985"/>
    <w:rsid w:val="001A0FED"/>
    <w:rsid w:val="001D6318"/>
    <w:rsid w:val="001E4B1D"/>
    <w:rsid w:val="001F1B8D"/>
    <w:rsid w:val="00207809"/>
    <w:rsid w:val="002078B9"/>
    <w:rsid w:val="002464AD"/>
    <w:rsid w:val="002464D9"/>
    <w:rsid w:val="002513DE"/>
    <w:rsid w:val="00276EE6"/>
    <w:rsid w:val="002900FA"/>
    <w:rsid w:val="002A3251"/>
    <w:rsid w:val="002A4263"/>
    <w:rsid w:val="002D4602"/>
    <w:rsid w:val="002F0647"/>
    <w:rsid w:val="003077C4"/>
    <w:rsid w:val="00315E18"/>
    <w:rsid w:val="003277C0"/>
    <w:rsid w:val="00336C4F"/>
    <w:rsid w:val="00340D87"/>
    <w:rsid w:val="003631F8"/>
    <w:rsid w:val="003A5CF3"/>
    <w:rsid w:val="003C546C"/>
    <w:rsid w:val="003F6D07"/>
    <w:rsid w:val="0041299A"/>
    <w:rsid w:val="0047211D"/>
    <w:rsid w:val="004C6FD6"/>
    <w:rsid w:val="004D51F7"/>
    <w:rsid w:val="0050038F"/>
    <w:rsid w:val="005342FD"/>
    <w:rsid w:val="00567B6D"/>
    <w:rsid w:val="005A2E6C"/>
    <w:rsid w:val="005A5A2A"/>
    <w:rsid w:val="005B22D3"/>
    <w:rsid w:val="005D2B50"/>
    <w:rsid w:val="005D2EC4"/>
    <w:rsid w:val="005E5FAA"/>
    <w:rsid w:val="005F3EC0"/>
    <w:rsid w:val="00605AB7"/>
    <w:rsid w:val="00605C06"/>
    <w:rsid w:val="00611A9F"/>
    <w:rsid w:val="00654751"/>
    <w:rsid w:val="00661279"/>
    <w:rsid w:val="00675551"/>
    <w:rsid w:val="0069070D"/>
    <w:rsid w:val="006D4CEA"/>
    <w:rsid w:val="00710FFC"/>
    <w:rsid w:val="00753556"/>
    <w:rsid w:val="00762C37"/>
    <w:rsid w:val="00765029"/>
    <w:rsid w:val="0078080F"/>
    <w:rsid w:val="00792AC8"/>
    <w:rsid w:val="007C2C0E"/>
    <w:rsid w:val="007E799B"/>
    <w:rsid w:val="007F4CA0"/>
    <w:rsid w:val="00801212"/>
    <w:rsid w:val="008053B0"/>
    <w:rsid w:val="00824D19"/>
    <w:rsid w:val="008559FF"/>
    <w:rsid w:val="008922CF"/>
    <w:rsid w:val="008C21F4"/>
    <w:rsid w:val="008F59C9"/>
    <w:rsid w:val="00901F08"/>
    <w:rsid w:val="00904760"/>
    <w:rsid w:val="00922EB1"/>
    <w:rsid w:val="00977F74"/>
    <w:rsid w:val="009A2C15"/>
    <w:rsid w:val="009A43D5"/>
    <w:rsid w:val="009B25D1"/>
    <w:rsid w:val="009C2D95"/>
    <w:rsid w:val="009D492D"/>
    <w:rsid w:val="00A1413D"/>
    <w:rsid w:val="00A17FC3"/>
    <w:rsid w:val="00A30FF2"/>
    <w:rsid w:val="00A352CB"/>
    <w:rsid w:val="00A413A3"/>
    <w:rsid w:val="00A50FE9"/>
    <w:rsid w:val="00A600C8"/>
    <w:rsid w:val="00AA5A6F"/>
    <w:rsid w:val="00AE6C4F"/>
    <w:rsid w:val="00AF21AB"/>
    <w:rsid w:val="00AF600E"/>
    <w:rsid w:val="00B11F60"/>
    <w:rsid w:val="00B2346C"/>
    <w:rsid w:val="00B3130F"/>
    <w:rsid w:val="00B37B72"/>
    <w:rsid w:val="00B408D7"/>
    <w:rsid w:val="00B645F2"/>
    <w:rsid w:val="00B8165E"/>
    <w:rsid w:val="00B9205F"/>
    <w:rsid w:val="00BB0067"/>
    <w:rsid w:val="00BB00AD"/>
    <w:rsid w:val="00BB24A9"/>
    <w:rsid w:val="00BC580E"/>
    <w:rsid w:val="00BD7668"/>
    <w:rsid w:val="00BE2157"/>
    <w:rsid w:val="00BE457A"/>
    <w:rsid w:val="00BE59A8"/>
    <w:rsid w:val="00BE5A85"/>
    <w:rsid w:val="00BE5AE1"/>
    <w:rsid w:val="00BE5B66"/>
    <w:rsid w:val="00BF33D2"/>
    <w:rsid w:val="00C1752E"/>
    <w:rsid w:val="00C4163F"/>
    <w:rsid w:val="00C528C5"/>
    <w:rsid w:val="00C56AA9"/>
    <w:rsid w:val="00C85F34"/>
    <w:rsid w:val="00C86944"/>
    <w:rsid w:val="00CB0696"/>
    <w:rsid w:val="00CB3E10"/>
    <w:rsid w:val="00CB7CDA"/>
    <w:rsid w:val="00D159F5"/>
    <w:rsid w:val="00D24BA7"/>
    <w:rsid w:val="00D25549"/>
    <w:rsid w:val="00D25C7E"/>
    <w:rsid w:val="00D37054"/>
    <w:rsid w:val="00D44550"/>
    <w:rsid w:val="00D85369"/>
    <w:rsid w:val="00D85492"/>
    <w:rsid w:val="00DA4C6D"/>
    <w:rsid w:val="00DA566E"/>
    <w:rsid w:val="00DC3224"/>
    <w:rsid w:val="00DC46E4"/>
    <w:rsid w:val="00DD727F"/>
    <w:rsid w:val="00DF21DF"/>
    <w:rsid w:val="00DF5170"/>
    <w:rsid w:val="00E4431E"/>
    <w:rsid w:val="00E7161D"/>
    <w:rsid w:val="00E955B9"/>
    <w:rsid w:val="00EB73F8"/>
    <w:rsid w:val="00ED326B"/>
    <w:rsid w:val="00F074D1"/>
    <w:rsid w:val="00F10C85"/>
    <w:rsid w:val="00F2021D"/>
    <w:rsid w:val="00F33298"/>
    <w:rsid w:val="00F4234D"/>
    <w:rsid w:val="00F82CDD"/>
    <w:rsid w:val="00F846A4"/>
    <w:rsid w:val="00F87405"/>
    <w:rsid w:val="00F924ED"/>
    <w:rsid w:val="00F95CB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8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51D3-DF2A-4A20-A6C0-EF8C92C9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Zemira Beširović</cp:lastModifiedBy>
  <cp:revision>2</cp:revision>
  <cp:lastPrinted>2025-01-27T08:14:00Z</cp:lastPrinted>
  <dcterms:created xsi:type="dcterms:W3CDTF">2025-01-27T08:22:00Z</dcterms:created>
  <dcterms:modified xsi:type="dcterms:W3CDTF">2025-01-27T08:22:00Z</dcterms:modified>
</cp:coreProperties>
</file>